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251D8585"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bookmarkStart w:id="0" w:name="_GoBack"/>
            <w:bookmarkEnd w:id="0"/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16F12433" w:rsidR="00B619B9" w:rsidRPr="00516461" w:rsidRDefault="00B619B9" w:rsidP="00D9474F"/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36051BD8" w:rsidR="00F37B14" w:rsidRPr="00516461" w:rsidRDefault="00F37B14" w:rsidP="00D9474F"/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7777777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4279868E" w14:textId="77777777" w:rsidR="00B619B9" w:rsidRPr="00516461" w:rsidRDefault="00B619B9" w:rsidP="009E57DA"/>
          <w:p w14:paraId="6C4848AE" w14:textId="77777777" w:rsidR="00B619B9" w:rsidRPr="00516461" w:rsidRDefault="00B619B9" w:rsidP="009E57DA"/>
          <w:p w14:paraId="2C192396" w14:textId="77777777" w:rsidR="00B619B9" w:rsidRPr="00516461" w:rsidRDefault="00B619B9" w:rsidP="009E57DA"/>
          <w:p w14:paraId="5B770C61" w14:textId="77777777" w:rsidR="00B619B9" w:rsidRPr="00516461" w:rsidRDefault="00B619B9" w:rsidP="009E57DA"/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244CA640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01B1D617" w14:textId="77777777" w:rsidR="00B619B9" w:rsidRDefault="00B619B9" w:rsidP="002623C9"/>
          <w:p w14:paraId="1E6EED6D" w14:textId="122B0D78" w:rsidR="009E57DA" w:rsidRDefault="009E57DA" w:rsidP="002623C9"/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77C2BA3F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205FE5D9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34CE2223" w:rsidR="00516461" w:rsidRPr="00516461" w:rsidRDefault="00516461" w:rsidP="00D9474F">
            <w:pPr>
              <w:spacing w:before="120" w:after="120"/>
            </w:pP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77173BEB" w:rsidR="00516461" w:rsidRPr="00516461" w:rsidRDefault="00516461" w:rsidP="00D9474F">
            <w:pPr>
              <w:spacing w:before="120" w:after="120"/>
            </w:pP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7579D25C" w:rsidR="009D5E2A" w:rsidRPr="00516461" w:rsidRDefault="009D5E2A" w:rsidP="00D9474F">
            <w:pPr>
              <w:spacing w:before="120"/>
            </w:pP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6D422433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Pr="00EB0656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41FF255D" w14:textId="77777777" w:rsidR="009D5E2A" w:rsidRPr="009E57DA" w:rsidRDefault="009D5E2A" w:rsidP="007A5630"/>
          <w:p w14:paraId="74493BAC" w14:textId="1431DF65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38831BFD" w14:textId="77777777" w:rsidR="005569F0" w:rsidRPr="009E57DA" w:rsidRDefault="005569F0" w:rsidP="007A5630">
            <w:pPr>
              <w:widowControl w:val="0"/>
              <w:autoSpaceDE w:val="0"/>
              <w:autoSpaceDN w:val="0"/>
              <w:adjustRightInd w:val="0"/>
            </w:pP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149EFBF5" w14:textId="77777777" w:rsidR="00546F2B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7B7C54B2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6BCA3403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473A40F7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20DB1089" w14:textId="77777777" w:rsidR="007A5630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0F161238" w14:textId="77777777" w:rsidR="007A5630" w:rsidRPr="009E57DA" w:rsidRDefault="007A5630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3B94F1F7" w14:textId="77777777" w:rsidTr="00516461">
        <w:trPr>
          <w:trHeight w:val="236"/>
        </w:trPr>
        <w:tc>
          <w:tcPr>
            <w:tcW w:w="9639" w:type="dxa"/>
            <w:gridSpan w:val="5"/>
          </w:tcPr>
          <w:p w14:paraId="411E1EEB" w14:textId="0AEFBAB7"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050D7E19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70568FEC" w14:textId="561B79E0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78C93E0"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224B116A" w14:textId="3E032EE4" w:rsidR="00273B85" w:rsidRPr="00516461" w:rsidRDefault="00273B85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64B76CF0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483D1DC6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6114066E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0DAAC3DA" w:rsidR="009D5E2A" w:rsidRPr="009E57DA" w:rsidRDefault="009D5E2A" w:rsidP="00D9474F">
            <w:pPr>
              <w:widowControl w:val="0"/>
              <w:autoSpaceDE w:val="0"/>
              <w:autoSpaceDN w:val="0"/>
              <w:adjustRightInd w:val="0"/>
              <w:spacing w:before="120" w:after="120"/>
            </w:pPr>
          </w:p>
        </w:tc>
      </w:tr>
    </w:tbl>
    <w:p w14:paraId="7F60C022" w14:textId="77777777" w:rsidR="002623C9" w:rsidRDefault="002623C9" w:rsidP="003277C2">
      <w:pPr>
        <w:tabs>
          <w:tab w:val="left" w:pos="142"/>
        </w:tabs>
        <w:ind w:left="-284"/>
        <w:rPr>
          <w:rFonts w:ascii="Arial" w:hAnsi="Arial" w:cs="Arial"/>
          <w:b/>
          <w:i/>
          <w:sz w:val="24"/>
          <w:szCs w:val="28"/>
        </w:rPr>
      </w:pPr>
    </w:p>
    <w:p w14:paraId="3DB7D183" w14:textId="6A3DA571" w:rsidR="00E85F1A" w:rsidRPr="00B47214" w:rsidRDefault="003277C2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  <w:r w:rsidRPr="003277C2">
        <w:rPr>
          <w:rFonts w:ascii="Arial" w:hAnsi="Arial" w:cs="Arial"/>
          <w:b/>
          <w:i/>
          <w:sz w:val="24"/>
          <w:szCs w:val="28"/>
        </w:rPr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p w14:paraId="392B3751" w14:textId="77777777" w:rsidR="00AB3897" w:rsidRDefault="00AB3897">
      <w:r>
        <w:br w:type="page"/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lastRenderedPageBreak/>
              <w:t>SUPERVISORY BODY’S DECISION with regard to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</w:t>
            </w:r>
            <w:r w:rsidR="00A32403">
              <w:rPr>
                <w:b/>
                <w:sz w:val="24"/>
                <w:szCs w:val="24"/>
              </w:rPr>
              <w:lastRenderedPageBreak/>
              <w:t>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lastRenderedPageBreak/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9"/>
      <w:footerReference w:type="default" r:id="rId10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D96F7" w14:textId="77777777" w:rsidR="00E0329A" w:rsidRDefault="00E0329A" w:rsidP="009D093D">
      <w:pPr>
        <w:spacing w:after="0" w:line="240" w:lineRule="auto"/>
      </w:pPr>
      <w:r>
        <w:separator/>
      </w:r>
    </w:p>
  </w:endnote>
  <w:endnote w:type="continuationSeparator" w:id="0">
    <w:p w14:paraId="40D80716" w14:textId="77777777" w:rsidR="00E0329A" w:rsidRDefault="00E0329A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3250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32503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1BB96" w14:textId="77777777" w:rsidR="00E0329A" w:rsidRDefault="00E0329A" w:rsidP="009D093D">
      <w:pPr>
        <w:spacing w:after="0" w:line="240" w:lineRule="auto"/>
      </w:pPr>
      <w:r>
        <w:separator/>
      </w:r>
    </w:p>
  </w:footnote>
  <w:footnote w:type="continuationSeparator" w:id="0">
    <w:p w14:paraId="101CECFC" w14:textId="77777777" w:rsidR="00E0329A" w:rsidRDefault="00E0329A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D26B6" w14:textId="06E17988" w:rsidR="008A3673" w:rsidRDefault="00F32503" w:rsidP="00F32503">
    <w:pPr>
      <w:jc w:val="right"/>
    </w:pPr>
    <w:r>
      <w:rPr>
        <w:noProof/>
        <w:lang w:eastAsia="en-GB"/>
      </w:rPr>
      <w:drawing>
        <wp:inline distT="0" distB="0" distL="0" distR="0" wp14:anchorId="1300162C" wp14:editId="76C5EFE2">
          <wp:extent cx="1524076" cy="412578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n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281" cy="412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05"/>
    <w:rsid w:val="00006164"/>
    <w:rsid w:val="00033AB3"/>
    <w:rsid w:val="00043E6D"/>
    <w:rsid w:val="00067A58"/>
    <w:rsid w:val="0007080F"/>
    <w:rsid w:val="000937E9"/>
    <w:rsid w:val="000958E9"/>
    <w:rsid w:val="000A7B50"/>
    <w:rsid w:val="0010480A"/>
    <w:rsid w:val="00145199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B07F4"/>
    <w:rsid w:val="003C6A1C"/>
    <w:rsid w:val="003D049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503745"/>
    <w:rsid w:val="00516461"/>
    <w:rsid w:val="005442B1"/>
    <w:rsid w:val="00544F72"/>
    <w:rsid w:val="0054570A"/>
    <w:rsid w:val="00546F2B"/>
    <w:rsid w:val="005569F0"/>
    <w:rsid w:val="0059202C"/>
    <w:rsid w:val="00592870"/>
    <w:rsid w:val="00597B23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F4C17"/>
    <w:rsid w:val="00845CDF"/>
    <w:rsid w:val="008A1EB3"/>
    <w:rsid w:val="008A3673"/>
    <w:rsid w:val="0090034E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D2711F"/>
    <w:rsid w:val="00D940B5"/>
    <w:rsid w:val="00D9474F"/>
    <w:rsid w:val="00DA3684"/>
    <w:rsid w:val="00DE3FF5"/>
    <w:rsid w:val="00E0329A"/>
    <w:rsid w:val="00E217F7"/>
    <w:rsid w:val="00E85F1A"/>
    <w:rsid w:val="00E97B37"/>
    <w:rsid w:val="00EA666E"/>
    <w:rsid w:val="00EB0656"/>
    <w:rsid w:val="00F025E3"/>
    <w:rsid w:val="00F13017"/>
    <w:rsid w:val="00F32503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A88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F2B81-FE89-42A7-A0B1-3C0D0231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Baker, Nicola</cp:lastModifiedBy>
  <cp:revision>7</cp:revision>
  <cp:lastPrinted>2015-01-25T09:33:00Z</cp:lastPrinted>
  <dcterms:created xsi:type="dcterms:W3CDTF">2015-03-24T21:33:00Z</dcterms:created>
  <dcterms:modified xsi:type="dcterms:W3CDTF">2015-04-01T11:00:00Z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1590326239</vt:i4>
  </property>
  <property fmtid="{D5CDD505-2E9C-101B-9397-08002B2CF9AE}" pid="3" name="_NewReviewCycle">
    <vt:lpwstr/>
  </property>
  <property fmtid="{D5CDD505-2E9C-101B-9397-08002B2CF9AE}" pid="4" name="_EmailSubject">
    <vt:lpwstr>NEW DOLS FORMS</vt:lpwstr>
  </property>
  <property fmtid="{D5CDD505-2E9C-101B-9397-08002B2CF9AE}" pid="5" name="_AuthorEmail">
    <vt:lpwstr>Panna.Thakker@barnet.gov.uk</vt:lpwstr>
  </property>
  <property fmtid="{D5CDD505-2E9C-101B-9397-08002B2CF9AE}" pid="6" name="_AuthorEmailDisplayName">
    <vt:lpwstr>Thakker, Panna</vt:lpwstr>
  </property>
  <property fmtid="{D5CDD505-2E9C-101B-9397-08002B2CF9AE}" pid="7" name="_PreviousAdHocReviewCycleID">
    <vt:i4>-651627369</vt:i4>
  </property>
</Properties>
</file>