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88" w:rsidRPr="002E363B" w:rsidRDefault="00915688" w:rsidP="00915688">
      <w:pPr>
        <w:pStyle w:val="Heading1"/>
        <w:spacing w:after="120"/>
        <w:rPr>
          <w:i/>
          <w:iCs/>
        </w:rPr>
      </w:pPr>
      <w:bookmarkStart w:id="0" w:name="_Toc371080040"/>
      <w:r w:rsidRPr="002E363B">
        <w:rPr>
          <w:i/>
          <w:iCs/>
        </w:rPr>
        <w:t>Strategic Equalities Objective and Measures</w:t>
      </w:r>
      <w:bookmarkEnd w:id="0"/>
    </w:p>
    <w:p w:rsidR="00915688" w:rsidRPr="002E363B" w:rsidRDefault="004E6078" w:rsidP="00915688">
      <w:pPr>
        <w:rPr>
          <w:i/>
          <w:sz w:val="32"/>
          <w:szCs w:val="32"/>
        </w:rPr>
      </w:pPr>
      <w:r w:rsidRPr="002E363B">
        <w:rPr>
          <w:i/>
          <w:sz w:val="32"/>
          <w:szCs w:val="32"/>
        </w:rPr>
        <w:t xml:space="preserve">Quarter </w:t>
      </w:r>
      <w:r w:rsidR="00204CDC">
        <w:rPr>
          <w:i/>
          <w:sz w:val="32"/>
          <w:szCs w:val="32"/>
        </w:rPr>
        <w:t>4</w:t>
      </w:r>
      <w:r w:rsidRPr="002E363B">
        <w:rPr>
          <w:i/>
          <w:sz w:val="32"/>
          <w:szCs w:val="32"/>
        </w:rPr>
        <w:t xml:space="preserve"> Report</w:t>
      </w:r>
    </w:p>
    <w:p w:rsidR="004E6078" w:rsidRDefault="004E6078" w:rsidP="00915688"/>
    <w:p w:rsidR="00915688" w:rsidRPr="002E363B" w:rsidRDefault="00915688" w:rsidP="00915688">
      <w:pPr>
        <w:autoSpaceDE w:val="0"/>
        <w:autoSpaceDN w:val="0"/>
        <w:adjustRightInd w:val="0"/>
        <w:rPr>
          <w:rFonts w:eastAsia="Calibri" w:cs="Arial"/>
          <w:b/>
          <w:sz w:val="28"/>
          <w:szCs w:val="28"/>
        </w:rPr>
      </w:pPr>
      <w:r w:rsidRPr="002E363B">
        <w:rPr>
          <w:rFonts w:eastAsia="Calibri" w:cs="Arial"/>
          <w:b/>
          <w:sz w:val="28"/>
          <w:szCs w:val="28"/>
        </w:rPr>
        <w:t>Background</w:t>
      </w:r>
    </w:p>
    <w:p w:rsidR="00915688" w:rsidRPr="009E2AAC" w:rsidRDefault="00915688" w:rsidP="00915688">
      <w:pPr>
        <w:rPr>
          <w:rFonts w:eastAsia="Calibri" w:cs="Arial"/>
          <w:sz w:val="24"/>
        </w:rPr>
      </w:pPr>
    </w:p>
    <w:p w:rsidR="00915688" w:rsidRPr="00F628F8" w:rsidRDefault="00915688" w:rsidP="00915688">
      <w:pPr>
        <w:rPr>
          <w:rFonts w:eastAsia="Calibri" w:cs="Arial"/>
          <w:sz w:val="24"/>
        </w:rPr>
      </w:pPr>
      <w:r w:rsidRPr="00F628F8">
        <w:rPr>
          <w:rFonts w:eastAsia="Calibri" w:cs="Arial"/>
          <w:sz w:val="24"/>
        </w:rPr>
        <w:t>As part of the 2010 Equalit</w:t>
      </w:r>
      <w:r w:rsidR="00EF4E6C" w:rsidRPr="00F628F8">
        <w:rPr>
          <w:rFonts w:eastAsia="Calibri" w:cs="Arial"/>
          <w:sz w:val="24"/>
        </w:rPr>
        <w:t>y</w:t>
      </w:r>
      <w:r w:rsidRPr="00F628F8">
        <w:rPr>
          <w:rFonts w:eastAsia="Calibri" w:cs="Arial"/>
          <w:sz w:val="24"/>
        </w:rPr>
        <w:t xml:space="preserve"> Act, the council is required to publish a</w:t>
      </w:r>
      <w:r w:rsidR="00EF4E6C" w:rsidRPr="00F628F8">
        <w:rPr>
          <w:rFonts w:eastAsia="Calibri" w:cs="Arial"/>
          <w:sz w:val="24"/>
        </w:rPr>
        <w:t xml:space="preserve"> </w:t>
      </w:r>
      <w:r w:rsidR="008C1B7A" w:rsidRPr="00F628F8">
        <w:rPr>
          <w:rFonts w:eastAsia="Calibri" w:cs="Arial"/>
          <w:sz w:val="24"/>
        </w:rPr>
        <w:t>Strategic</w:t>
      </w:r>
      <w:r w:rsidR="00EF4E6C" w:rsidRPr="00F628F8">
        <w:rPr>
          <w:rFonts w:eastAsia="Calibri" w:cs="Arial"/>
          <w:sz w:val="24"/>
        </w:rPr>
        <w:t xml:space="preserve"> </w:t>
      </w:r>
      <w:r w:rsidRPr="00F628F8">
        <w:rPr>
          <w:rFonts w:eastAsia="Calibri" w:cs="Arial"/>
          <w:sz w:val="24"/>
        </w:rPr>
        <w:t xml:space="preserve">Equalities Objective and to provide an annual report of progress. </w:t>
      </w:r>
      <w:r w:rsidRPr="00F628F8">
        <w:rPr>
          <w:rFonts w:cs="Arial"/>
          <w:sz w:val="24"/>
        </w:rPr>
        <w:t>The council published its Strategic Equalities Objective</w:t>
      </w:r>
      <w:r w:rsidRPr="00F628F8" w:rsidDel="00C469F6">
        <w:rPr>
          <w:rFonts w:cs="Arial"/>
          <w:bCs/>
          <w:sz w:val="24"/>
        </w:rPr>
        <w:t xml:space="preserve"> </w:t>
      </w:r>
      <w:r w:rsidR="00EF4E6C" w:rsidRPr="00F628F8">
        <w:rPr>
          <w:rFonts w:cs="Arial"/>
          <w:bCs/>
          <w:sz w:val="24"/>
        </w:rPr>
        <w:t xml:space="preserve">as part of </w:t>
      </w:r>
      <w:r w:rsidRPr="00F628F8">
        <w:rPr>
          <w:rFonts w:cs="Arial"/>
          <w:sz w:val="24"/>
        </w:rPr>
        <w:t xml:space="preserve">the 2013– 2016 Corporate Plan. The objective is enshrined in the constitution and states that citizens will be treated equally, with understanding and respect; have equal opportunity with other citizens; and receive quality services provided to Best Value principles. </w:t>
      </w:r>
    </w:p>
    <w:p w:rsidR="00915688" w:rsidRPr="00F628F8" w:rsidRDefault="00915688" w:rsidP="00915688">
      <w:pPr>
        <w:autoSpaceDE w:val="0"/>
        <w:autoSpaceDN w:val="0"/>
        <w:adjustRightInd w:val="0"/>
        <w:rPr>
          <w:rFonts w:eastAsia="Calibri" w:cs="Arial"/>
          <w:sz w:val="24"/>
        </w:rPr>
      </w:pPr>
    </w:p>
    <w:p w:rsidR="004E6078" w:rsidRPr="00F628F8" w:rsidRDefault="004E6078" w:rsidP="00915688">
      <w:pPr>
        <w:autoSpaceDE w:val="0"/>
        <w:autoSpaceDN w:val="0"/>
        <w:adjustRightInd w:val="0"/>
        <w:rPr>
          <w:rFonts w:cs="Arial"/>
          <w:sz w:val="24"/>
        </w:rPr>
      </w:pPr>
      <w:r w:rsidRPr="00F628F8">
        <w:rPr>
          <w:rFonts w:cs="Arial"/>
          <w:sz w:val="24"/>
        </w:rPr>
        <w:t>Barnet’s Approach to Equalities</w:t>
      </w:r>
      <w:r w:rsidR="00FA5EC9" w:rsidRPr="00F628F8">
        <w:rPr>
          <w:rFonts w:cs="Arial"/>
          <w:sz w:val="24"/>
        </w:rPr>
        <w:t xml:space="preserve"> is to:</w:t>
      </w:r>
    </w:p>
    <w:p w:rsidR="00204CDC" w:rsidRPr="00F628F8" w:rsidRDefault="00204CDC" w:rsidP="00FA5EC9">
      <w:pPr>
        <w:pStyle w:val="ListParagraph"/>
        <w:numPr>
          <w:ilvl w:val="0"/>
          <w:numId w:val="5"/>
        </w:numPr>
      </w:pPr>
      <w:r w:rsidRPr="00F628F8">
        <w:t xml:space="preserve">Embed Equalities considerations into everything we do.  </w:t>
      </w:r>
    </w:p>
    <w:p w:rsidR="00FA5EC9" w:rsidRPr="00F628F8" w:rsidRDefault="00FA5EC9" w:rsidP="00FA5EC9">
      <w:pPr>
        <w:pStyle w:val="ListParagraph"/>
        <w:numPr>
          <w:ilvl w:val="0"/>
          <w:numId w:val="5"/>
        </w:numPr>
      </w:pPr>
      <w:r w:rsidRPr="00F628F8">
        <w:t>Assess</w:t>
      </w:r>
      <w:r w:rsidR="00204CDC" w:rsidRPr="00F628F8">
        <w:t xml:space="preserve"> the equalities impact </w:t>
      </w:r>
      <w:r w:rsidR="00726C2F">
        <w:t xml:space="preserve">of our proposals and use this </w:t>
      </w:r>
      <w:r w:rsidR="00204CDC" w:rsidRPr="00F628F8">
        <w:t xml:space="preserve">in </w:t>
      </w:r>
      <w:r w:rsidR="00204CDC" w:rsidRPr="00F628F8">
        <w:rPr>
          <w:bCs/>
        </w:rPr>
        <w:t>decision making</w:t>
      </w:r>
      <w:r w:rsidR="00C60A0D" w:rsidRPr="00F628F8">
        <w:rPr>
          <w:bCs/>
        </w:rPr>
        <w:t>.</w:t>
      </w:r>
      <w:r w:rsidR="00204CDC" w:rsidRPr="00F628F8">
        <w:rPr>
          <w:bCs/>
        </w:rPr>
        <w:t xml:space="preserve"> </w:t>
      </w:r>
    </w:p>
    <w:p w:rsidR="00204CDC" w:rsidRPr="00F628F8" w:rsidRDefault="00204CDC" w:rsidP="00FA5EC9">
      <w:pPr>
        <w:pStyle w:val="ListParagraph"/>
        <w:numPr>
          <w:ilvl w:val="0"/>
          <w:numId w:val="5"/>
        </w:numPr>
      </w:pPr>
      <w:r w:rsidRPr="00F628F8">
        <w:rPr>
          <w:bCs/>
        </w:rPr>
        <w:t>Use evidence and data</w:t>
      </w:r>
      <w:r w:rsidRPr="00F628F8">
        <w:t xml:space="preserve"> to understand service users, impact, trends and gaps in service design and delivery. </w:t>
      </w:r>
    </w:p>
    <w:p w:rsidR="00FA5EC9" w:rsidRPr="00F628F8" w:rsidRDefault="00204CDC" w:rsidP="00FA5EC9">
      <w:pPr>
        <w:pStyle w:val="ListParagraph"/>
        <w:numPr>
          <w:ilvl w:val="0"/>
          <w:numId w:val="5"/>
        </w:numPr>
        <w:rPr>
          <w:bCs/>
        </w:rPr>
      </w:pPr>
      <w:r w:rsidRPr="00F628F8">
        <w:t>Know and engage with our communities and build on community strengths to optimise independence and support people to take control of their own lives.</w:t>
      </w:r>
      <w:r w:rsidRPr="00F628F8">
        <w:rPr>
          <w:bCs/>
        </w:rPr>
        <w:t xml:space="preserve"> </w:t>
      </w:r>
    </w:p>
    <w:p w:rsidR="00204CDC" w:rsidRPr="00F628F8" w:rsidRDefault="00204CDC" w:rsidP="00FA5EC9">
      <w:pPr>
        <w:pStyle w:val="ListParagraph"/>
        <w:numPr>
          <w:ilvl w:val="0"/>
          <w:numId w:val="5"/>
        </w:numPr>
        <w:rPr>
          <w:b/>
          <w:bCs/>
        </w:rPr>
      </w:pPr>
      <w:r w:rsidRPr="00F628F8">
        <w:rPr>
          <w:bCs/>
        </w:rPr>
        <w:t>Check how we are doing</w:t>
      </w:r>
      <w:r w:rsidR="00FA5EC9" w:rsidRPr="00F628F8">
        <w:rPr>
          <w:bCs/>
        </w:rPr>
        <w:t xml:space="preserve"> and m</w:t>
      </w:r>
      <w:r w:rsidRPr="00F628F8">
        <w:rPr>
          <w:bCs/>
        </w:rPr>
        <w:t>onitor our performance</w:t>
      </w:r>
      <w:r w:rsidRPr="00F628F8">
        <w:rPr>
          <w:b/>
          <w:bCs/>
        </w:rPr>
        <w:t xml:space="preserve"> </w:t>
      </w:r>
      <w:r w:rsidRPr="00F628F8">
        <w:t xml:space="preserve">against equalities objectives and resident satisfaction </w:t>
      </w:r>
      <w:r w:rsidRPr="00F628F8">
        <w:rPr>
          <w:bCs/>
        </w:rPr>
        <w:t xml:space="preserve">and publish the information.  </w:t>
      </w:r>
    </w:p>
    <w:p w:rsidR="00915688" w:rsidRPr="00F628F8" w:rsidRDefault="00915688" w:rsidP="00915688">
      <w:pPr>
        <w:shd w:val="clear" w:color="auto" w:fill="FFFFFF"/>
        <w:rPr>
          <w:rFonts w:cs="Arial"/>
          <w:sz w:val="24"/>
          <w:lang w:val="en-US"/>
        </w:rPr>
      </w:pPr>
    </w:p>
    <w:p w:rsidR="00915688" w:rsidRPr="00F628F8" w:rsidRDefault="00915688" w:rsidP="00915688">
      <w:pPr>
        <w:shd w:val="clear" w:color="auto" w:fill="FFFFFF"/>
        <w:rPr>
          <w:rFonts w:cs="Arial"/>
          <w:sz w:val="24"/>
          <w:lang w:val="en-US"/>
        </w:rPr>
      </w:pPr>
      <w:r w:rsidRPr="00F628F8">
        <w:rPr>
          <w:rFonts w:cs="Arial"/>
          <w:sz w:val="24"/>
          <w:lang w:val="en-US"/>
        </w:rPr>
        <w:t xml:space="preserve">Barnet </w:t>
      </w:r>
      <w:r w:rsidR="004E6078" w:rsidRPr="00F628F8">
        <w:rPr>
          <w:rFonts w:cs="Arial"/>
          <w:sz w:val="24"/>
          <w:lang w:val="en-US"/>
        </w:rPr>
        <w:t xml:space="preserve">has introduced </w:t>
      </w:r>
      <w:r w:rsidR="00204CDC" w:rsidRPr="00F628F8">
        <w:rPr>
          <w:rFonts w:cs="Arial"/>
          <w:sz w:val="24"/>
          <w:lang w:val="en-US"/>
        </w:rPr>
        <w:t xml:space="preserve">corporate </w:t>
      </w:r>
      <w:r w:rsidR="004E6078" w:rsidRPr="00F628F8">
        <w:rPr>
          <w:rFonts w:cs="Arial"/>
          <w:sz w:val="24"/>
          <w:lang w:val="en-US"/>
        </w:rPr>
        <w:t xml:space="preserve">performance indicators to monitor the strategic equalities objective </w:t>
      </w:r>
      <w:r w:rsidRPr="00F628F8">
        <w:rPr>
          <w:rFonts w:cs="Arial"/>
          <w:sz w:val="24"/>
          <w:lang w:val="en-US"/>
        </w:rPr>
        <w:t>in four key areas:</w:t>
      </w:r>
    </w:p>
    <w:p w:rsidR="00915688" w:rsidRPr="00F628F8" w:rsidRDefault="00915688" w:rsidP="00915688">
      <w:pPr>
        <w:shd w:val="clear" w:color="auto" w:fill="FFFFFF"/>
        <w:rPr>
          <w:rFonts w:cs="Arial"/>
          <w:sz w:val="24"/>
          <w:lang w:val="en-US"/>
        </w:rPr>
      </w:pPr>
      <w:r w:rsidRPr="00F628F8">
        <w:rPr>
          <w:rFonts w:cs="Arial"/>
          <w:sz w:val="24"/>
          <w:lang w:val="en-US"/>
        </w:rPr>
        <w:t> </w:t>
      </w:r>
    </w:p>
    <w:p w:rsidR="00C60A0D" w:rsidRPr="00F628F8" w:rsidRDefault="00C60A0D" w:rsidP="00C60A0D">
      <w:pPr>
        <w:pStyle w:val="ListParagraph"/>
        <w:numPr>
          <w:ilvl w:val="0"/>
          <w:numId w:val="7"/>
        </w:numPr>
        <w:shd w:val="clear" w:color="auto" w:fill="FFFFFF"/>
        <w:rPr>
          <w:lang w:val="en-US" w:eastAsia="en-GB"/>
        </w:rPr>
      </w:pPr>
      <w:r w:rsidRPr="00F628F8">
        <w:rPr>
          <w:lang w:val="en-US" w:eastAsia="en-GB"/>
        </w:rPr>
        <w:t>Customer satisfaction</w:t>
      </w:r>
    </w:p>
    <w:p w:rsidR="00C60A0D" w:rsidRPr="00F628F8" w:rsidRDefault="00C60A0D" w:rsidP="00C60A0D">
      <w:pPr>
        <w:pStyle w:val="ListParagraph"/>
        <w:numPr>
          <w:ilvl w:val="0"/>
          <w:numId w:val="7"/>
        </w:numPr>
        <w:shd w:val="clear" w:color="auto" w:fill="FFFFFF"/>
        <w:rPr>
          <w:lang w:val="en-US" w:eastAsia="en-GB"/>
        </w:rPr>
      </w:pPr>
      <w:r w:rsidRPr="00F628F8">
        <w:rPr>
          <w:lang w:val="en-US" w:eastAsia="en-GB"/>
        </w:rPr>
        <w:t>Employment</w:t>
      </w:r>
    </w:p>
    <w:p w:rsidR="00C60A0D" w:rsidRPr="00F628F8" w:rsidRDefault="00C60A0D" w:rsidP="00C60A0D">
      <w:pPr>
        <w:pStyle w:val="ListParagraph"/>
        <w:numPr>
          <w:ilvl w:val="0"/>
          <w:numId w:val="7"/>
        </w:numPr>
        <w:shd w:val="clear" w:color="auto" w:fill="FFFFFF"/>
        <w:rPr>
          <w:lang w:val="en-US" w:eastAsia="en-GB"/>
        </w:rPr>
      </w:pPr>
      <w:r w:rsidRPr="00F628F8">
        <w:rPr>
          <w:lang w:val="en-US" w:eastAsia="en-GB"/>
        </w:rPr>
        <w:t>The accessibility of new homes</w:t>
      </w:r>
    </w:p>
    <w:p w:rsidR="00915688" w:rsidRPr="00F628F8" w:rsidRDefault="00915688" w:rsidP="00EF4E6C">
      <w:pPr>
        <w:pStyle w:val="ListParagraph"/>
        <w:numPr>
          <w:ilvl w:val="0"/>
          <w:numId w:val="7"/>
        </w:numPr>
        <w:shd w:val="clear" w:color="auto" w:fill="FFFFFF"/>
        <w:rPr>
          <w:lang w:val="en-US" w:eastAsia="en-GB"/>
        </w:rPr>
      </w:pPr>
      <w:r w:rsidRPr="00F628F8">
        <w:rPr>
          <w:lang w:val="en-US" w:eastAsia="en-GB"/>
        </w:rPr>
        <w:t>Life expectancy and health</w:t>
      </w:r>
    </w:p>
    <w:p w:rsidR="00915688" w:rsidRPr="00F628F8" w:rsidRDefault="00915688" w:rsidP="00915688">
      <w:pPr>
        <w:rPr>
          <w:rFonts w:eastAsia="Calibri" w:cs="Arial"/>
          <w:color w:val="FF0000"/>
          <w:sz w:val="24"/>
        </w:rPr>
      </w:pPr>
    </w:p>
    <w:p w:rsidR="00E32ECB" w:rsidRPr="00AF5CD3" w:rsidRDefault="00E32ECB" w:rsidP="00915688">
      <w:pPr>
        <w:rPr>
          <w:rFonts w:eastAsia="Calibri" w:cs="Arial"/>
          <w:b/>
          <w:sz w:val="28"/>
          <w:szCs w:val="28"/>
        </w:rPr>
      </w:pPr>
      <w:r w:rsidRPr="00AF5CD3">
        <w:rPr>
          <w:rFonts w:eastAsia="Calibri" w:cs="Arial"/>
          <w:b/>
          <w:sz w:val="28"/>
          <w:szCs w:val="28"/>
        </w:rPr>
        <w:t>Highlights</w:t>
      </w:r>
    </w:p>
    <w:p w:rsidR="006000A3" w:rsidRDefault="006000A3" w:rsidP="00915688">
      <w:pPr>
        <w:rPr>
          <w:rFonts w:eastAsia="Calibri" w:cs="Arial"/>
          <w:sz w:val="24"/>
        </w:rPr>
      </w:pPr>
    </w:p>
    <w:p w:rsidR="00E32ECB" w:rsidRDefault="00E32ECB" w:rsidP="00915688">
      <w:pPr>
        <w:rPr>
          <w:rFonts w:eastAsia="Calibri" w:cs="Arial"/>
          <w:sz w:val="24"/>
        </w:rPr>
      </w:pPr>
      <w:r w:rsidRPr="00E32ECB">
        <w:rPr>
          <w:rFonts w:eastAsia="Calibri" w:cs="Arial"/>
          <w:sz w:val="24"/>
        </w:rPr>
        <w:t xml:space="preserve">In a period </w:t>
      </w:r>
      <w:r w:rsidR="00BA2D1F">
        <w:rPr>
          <w:rFonts w:eastAsia="Calibri" w:cs="Arial"/>
          <w:sz w:val="24"/>
        </w:rPr>
        <w:t xml:space="preserve">of austerity </w:t>
      </w:r>
      <w:r w:rsidRPr="00E32ECB">
        <w:rPr>
          <w:rFonts w:eastAsia="Calibri" w:cs="Arial"/>
          <w:sz w:val="24"/>
        </w:rPr>
        <w:t xml:space="preserve">when Barnet has made </w:t>
      </w:r>
      <w:r w:rsidR="00C60A0D">
        <w:rPr>
          <w:rFonts w:eastAsia="Calibri" w:cs="Arial"/>
          <w:sz w:val="24"/>
        </w:rPr>
        <w:t xml:space="preserve">cumulative savings of </w:t>
      </w:r>
      <w:r w:rsidRPr="00E32ECB">
        <w:rPr>
          <w:rFonts w:eastAsia="Calibri" w:cs="Arial"/>
          <w:sz w:val="24"/>
        </w:rPr>
        <w:t xml:space="preserve">£72.5m </w:t>
      </w:r>
      <w:r w:rsidR="00C60A0D">
        <w:rPr>
          <w:rFonts w:eastAsia="Calibri" w:cs="Arial"/>
          <w:sz w:val="24"/>
        </w:rPr>
        <w:t xml:space="preserve">since 2010 </w:t>
      </w:r>
      <w:r w:rsidRPr="00E32ECB">
        <w:rPr>
          <w:rFonts w:eastAsia="Calibri" w:cs="Arial"/>
          <w:sz w:val="24"/>
        </w:rPr>
        <w:t>and has indicated that further savings of</w:t>
      </w:r>
      <w:r w:rsidR="00977878">
        <w:rPr>
          <w:rFonts w:eastAsia="Calibri" w:cs="Arial"/>
          <w:sz w:val="24"/>
        </w:rPr>
        <w:t xml:space="preserve"> £</w:t>
      </w:r>
      <w:r w:rsidR="008C1B7A">
        <w:rPr>
          <w:rFonts w:eastAsia="Calibri" w:cs="Arial"/>
          <w:sz w:val="24"/>
        </w:rPr>
        <w:t xml:space="preserve">70m </w:t>
      </w:r>
      <w:r w:rsidR="008C1B7A" w:rsidRPr="00E32ECB">
        <w:rPr>
          <w:rFonts w:eastAsia="Calibri" w:cs="Arial"/>
          <w:sz w:val="24"/>
        </w:rPr>
        <w:t>must</w:t>
      </w:r>
      <w:r w:rsidRPr="00E32ECB">
        <w:rPr>
          <w:rFonts w:eastAsia="Calibri" w:cs="Arial"/>
          <w:sz w:val="24"/>
        </w:rPr>
        <w:t xml:space="preserve"> be found by 2020</w:t>
      </w:r>
      <w:r w:rsidR="00C60A0D">
        <w:rPr>
          <w:rFonts w:eastAsia="Calibri" w:cs="Arial"/>
          <w:sz w:val="24"/>
        </w:rPr>
        <w:t>:</w:t>
      </w:r>
    </w:p>
    <w:p w:rsidR="00C60A0D" w:rsidRPr="00E32ECB" w:rsidRDefault="00C60A0D" w:rsidP="00915688">
      <w:pPr>
        <w:rPr>
          <w:rFonts w:eastAsia="Calibri" w:cs="Arial"/>
          <w:sz w:val="24"/>
        </w:rPr>
      </w:pPr>
    </w:p>
    <w:p w:rsidR="00BC0306" w:rsidRDefault="00E32ECB" w:rsidP="00BC0306">
      <w:pPr>
        <w:pStyle w:val="ListParagraph"/>
        <w:numPr>
          <w:ilvl w:val="0"/>
          <w:numId w:val="6"/>
        </w:numPr>
        <w:jc w:val="both"/>
        <w:rPr>
          <w:rFonts w:eastAsia="Calibri"/>
        </w:rPr>
      </w:pPr>
      <w:r w:rsidRPr="00726C2F">
        <w:rPr>
          <w:rFonts w:eastAsia="Calibri"/>
        </w:rPr>
        <w:t xml:space="preserve">Satisfaction with </w:t>
      </w:r>
      <w:r w:rsidR="008C1B7A" w:rsidRPr="00726C2F">
        <w:rPr>
          <w:rFonts w:eastAsia="Calibri"/>
        </w:rPr>
        <w:t>Barnet</w:t>
      </w:r>
      <w:r w:rsidR="00977878" w:rsidRPr="00726C2F">
        <w:rPr>
          <w:rFonts w:eastAsia="Calibri"/>
        </w:rPr>
        <w:t xml:space="preserve"> </w:t>
      </w:r>
      <w:r w:rsidRPr="00726C2F">
        <w:rPr>
          <w:rFonts w:eastAsia="Calibri"/>
        </w:rPr>
        <w:t>remains high</w:t>
      </w:r>
      <w:r w:rsidR="00726C2F" w:rsidRPr="00726C2F">
        <w:rPr>
          <w:rFonts w:eastAsia="Calibri"/>
        </w:rPr>
        <w:t xml:space="preserve"> -</w:t>
      </w:r>
      <w:r w:rsidR="00BC0306" w:rsidRPr="00726C2F">
        <w:rPr>
          <w:rFonts w:eastAsia="Calibri"/>
        </w:rPr>
        <w:t>87% of residents are satisfied with their local area as a place to live. This is 4 percentage points above the national average.</w:t>
      </w:r>
    </w:p>
    <w:p w:rsidR="00726C2F" w:rsidRPr="00726C2F" w:rsidRDefault="00726C2F" w:rsidP="00726C2F">
      <w:pPr>
        <w:pStyle w:val="ListParagraph"/>
        <w:jc w:val="both"/>
        <w:rPr>
          <w:rFonts w:eastAsia="Calibri"/>
        </w:rPr>
      </w:pPr>
    </w:p>
    <w:p w:rsidR="00BC0306" w:rsidRDefault="00BC0306" w:rsidP="00BC0306">
      <w:pPr>
        <w:pStyle w:val="ListParagraph"/>
        <w:numPr>
          <w:ilvl w:val="0"/>
          <w:numId w:val="6"/>
        </w:numPr>
        <w:jc w:val="both"/>
        <w:rPr>
          <w:rFonts w:eastAsia="Calibri"/>
        </w:rPr>
      </w:pPr>
      <w:r>
        <w:rPr>
          <w:rFonts w:eastAsia="Calibri"/>
        </w:rPr>
        <w:t>Community cohesion is increasing with 84% of residents agreeing that people from different backgrounds get on well together in the borough, and 78% of residents feel there is not a problem or not a very big problem with people not treating each other with respect and consideration.</w:t>
      </w:r>
    </w:p>
    <w:p w:rsidR="00726C2F" w:rsidRDefault="00726C2F" w:rsidP="00726C2F">
      <w:pPr>
        <w:pStyle w:val="ListParagraph"/>
        <w:jc w:val="both"/>
        <w:rPr>
          <w:rFonts w:eastAsia="Calibri"/>
        </w:rPr>
      </w:pPr>
    </w:p>
    <w:p w:rsidR="00517D55" w:rsidRPr="00C60A0D" w:rsidRDefault="00517D55" w:rsidP="00C60A0D">
      <w:pPr>
        <w:pStyle w:val="ListParagraph"/>
        <w:numPr>
          <w:ilvl w:val="0"/>
          <w:numId w:val="6"/>
        </w:numPr>
        <w:rPr>
          <w:rFonts w:eastAsia="Calibri"/>
        </w:rPr>
      </w:pPr>
      <w:r w:rsidRPr="00C60A0D">
        <w:rPr>
          <w:rFonts w:eastAsia="Calibri"/>
        </w:rPr>
        <w:t xml:space="preserve">Unemployment in Barnet </w:t>
      </w:r>
      <w:r w:rsidR="007777EF" w:rsidRPr="00C60A0D">
        <w:rPr>
          <w:rFonts w:eastAsia="Calibri"/>
        </w:rPr>
        <w:t xml:space="preserve">at 6.4 % </w:t>
      </w:r>
      <w:r w:rsidRPr="00C60A0D">
        <w:rPr>
          <w:rFonts w:eastAsia="Calibri"/>
        </w:rPr>
        <w:t>is approximately 2</w:t>
      </w:r>
      <w:r w:rsidR="00EF4E6C" w:rsidRPr="00C60A0D">
        <w:rPr>
          <w:rFonts w:eastAsia="Calibri"/>
        </w:rPr>
        <w:t xml:space="preserve"> </w:t>
      </w:r>
      <w:r w:rsidRPr="00C60A0D">
        <w:rPr>
          <w:rFonts w:eastAsia="Calibri"/>
        </w:rPr>
        <w:t xml:space="preserve">percentage points </w:t>
      </w:r>
      <w:r w:rsidR="008C1B7A" w:rsidRPr="00C60A0D">
        <w:rPr>
          <w:rFonts w:eastAsia="Calibri"/>
        </w:rPr>
        <w:t>below the</w:t>
      </w:r>
      <w:r w:rsidRPr="00C60A0D">
        <w:rPr>
          <w:rFonts w:eastAsia="Calibri"/>
        </w:rPr>
        <w:t xml:space="preserve"> London figure.</w:t>
      </w:r>
      <w:r w:rsidR="00BC0306" w:rsidRPr="00BC0306">
        <w:rPr>
          <w:rFonts w:eastAsia="Calibri"/>
        </w:rPr>
        <w:t xml:space="preserve"> </w:t>
      </w:r>
      <w:r w:rsidR="00BC0306">
        <w:rPr>
          <w:rFonts w:eastAsia="Calibri"/>
        </w:rPr>
        <w:t xml:space="preserve"> </w:t>
      </w:r>
      <w:r w:rsidR="00BC0306">
        <w:rPr>
          <w:rFonts w:eastAsia="Calibri"/>
        </w:rPr>
        <w:t xml:space="preserve">There have been improvements in employment opportunities for young people not in employment education and training and the unemployment rate for this group is 2.3% This is the fourth lowest figure in the country and well below the London figure of 3.8%.  </w:t>
      </w:r>
    </w:p>
    <w:p w:rsidR="00C60A0D" w:rsidRPr="00C60A0D" w:rsidRDefault="00C60A0D" w:rsidP="00C60A0D">
      <w:pPr>
        <w:rPr>
          <w:rFonts w:eastAsia="Calibri"/>
        </w:rPr>
      </w:pPr>
    </w:p>
    <w:p w:rsidR="00BC0306" w:rsidRPr="00BC0306" w:rsidRDefault="00BC0306" w:rsidP="00BC0306">
      <w:pPr>
        <w:pStyle w:val="ListParagraph"/>
        <w:numPr>
          <w:ilvl w:val="0"/>
          <w:numId w:val="6"/>
        </w:numPr>
        <w:jc w:val="both"/>
        <w:rPr>
          <w:rFonts w:eastAsia="Calibri"/>
        </w:rPr>
      </w:pPr>
      <w:r>
        <w:rPr>
          <w:lang w:eastAsia="en-GB"/>
        </w:rPr>
        <w:t>There has been a 21% reduction in job seekers claims in Barnet.  Benefits claimants in Barnet at 9.8% are below the London average of 12.2%.</w:t>
      </w:r>
    </w:p>
    <w:p w:rsidR="00BC0306" w:rsidRPr="00BC0306" w:rsidRDefault="00BC0306" w:rsidP="00BC0306">
      <w:pPr>
        <w:pStyle w:val="ListParagraph"/>
        <w:rPr>
          <w:rFonts w:eastAsia="Calibri"/>
        </w:rPr>
      </w:pPr>
    </w:p>
    <w:p w:rsidR="007777EF" w:rsidRDefault="007777EF" w:rsidP="00EF4E6C">
      <w:pPr>
        <w:pStyle w:val="ListParagraph"/>
        <w:numPr>
          <w:ilvl w:val="0"/>
          <w:numId w:val="6"/>
        </w:numPr>
        <w:rPr>
          <w:rFonts w:eastAsia="Calibri"/>
        </w:rPr>
      </w:pPr>
      <w:r>
        <w:rPr>
          <w:lang w:eastAsia="en-GB"/>
        </w:rPr>
        <w:t>Borough p</w:t>
      </w:r>
      <w:r w:rsidR="00EF4E6C" w:rsidRPr="00517D55">
        <w:rPr>
          <w:lang w:eastAsia="en-GB"/>
        </w:rPr>
        <w:t>erformance on Lifetime Homes has improved since October 1</w:t>
      </w:r>
      <w:r w:rsidR="00EF4E6C" w:rsidRPr="00517D55">
        <w:rPr>
          <w:vertAlign w:val="superscript"/>
          <w:lang w:eastAsia="en-GB"/>
        </w:rPr>
        <w:t>st</w:t>
      </w:r>
      <w:r w:rsidR="00C60A0D">
        <w:rPr>
          <w:vertAlign w:val="superscript"/>
          <w:lang w:eastAsia="en-GB"/>
        </w:rPr>
        <w:t xml:space="preserve"> </w:t>
      </w:r>
      <w:r w:rsidR="00EF4E6C" w:rsidRPr="00517D55">
        <w:rPr>
          <w:lang w:eastAsia="en-GB"/>
        </w:rPr>
        <w:t xml:space="preserve"> </w:t>
      </w:r>
      <w:r w:rsidR="00C60A0D">
        <w:rPr>
          <w:lang w:eastAsia="en-GB"/>
        </w:rPr>
        <w:t xml:space="preserve"> 2013, </w:t>
      </w:r>
      <w:r w:rsidR="00EF4E6C" w:rsidRPr="00517D55">
        <w:rPr>
          <w:lang w:eastAsia="en-GB"/>
        </w:rPr>
        <w:t>the launch date of Re</w:t>
      </w:r>
      <w:r>
        <w:rPr>
          <w:lang w:eastAsia="en-GB"/>
        </w:rPr>
        <w:t xml:space="preserve">. </w:t>
      </w:r>
      <w:r w:rsidR="00EF4E6C" w:rsidRPr="00EF4E6C">
        <w:rPr>
          <w:rFonts w:eastAsia="Calibri"/>
        </w:rPr>
        <w:t>There has been an improvement in the number of wheelchair accessible homes and those meeting the lifetime homes standard</w:t>
      </w:r>
      <w:r>
        <w:rPr>
          <w:rFonts w:eastAsia="Calibri"/>
        </w:rPr>
        <w:t xml:space="preserve">. </w:t>
      </w:r>
      <w:r w:rsidR="00C60A0D" w:rsidRPr="00517D55">
        <w:rPr>
          <w:lang w:eastAsia="en-GB"/>
        </w:rPr>
        <w:t>Just under 80% of new homes approved in 2013/14 will deliver Lifetime Homes standards</w:t>
      </w:r>
      <w:r w:rsidR="00C60A0D">
        <w:rPr>
          <w:lang w:eastAsia="en-GB"/>
        </w:rPr>
        <w:t xml:space="preserve"> compared with </w:t>
      </w:r>
      <w:r w:rsidR="00C60A0D" w:rsidRPr="00517D55">
        <w:rPr>
          <w:lang w:eastAsia="en-GB"/>
        </w:rPr>
        <w:t>65% in 2012/13.</w:t>
      </w:r>
      <w:r w:rsidR="00C60A0D">
        <w:rPr>
          <w:lang w:eastAsia="en-GB"/>
        </w:rPr>
        <w:t xml:space="preserve">  </w:t>
      </w:r>
      <w:r w:rsidRPr="00517D55">
        <w:rPr>
          <w:lang w:eastAsia="en-GB"/>
        </w:rPr>
        <w:t xml:space="preserve">Wheelchair Homes </w:t>
      </w:r>
      <w:r w:rsidR="00C60A0D">
        <w:rPr>
          <w:lang w:eastAsia="en-GB"/>
        </w:rPr>
        <w:t xml:space="preserve">were </w:t>
      </w:r>
      <w:r w:rsidRPr="00517D55">
        <w:rPr>
          <w:lang w:eastAsia="en-GB"/>
        </w:rPr>
        <w:t>7.4% of new homes approved</w:t>
      </w:r>
      <w:r>
        <w:rPr>
          <w:lang w:eastAsia="en-GB"/>
        </w:rPr>
        <w:t xml:space="preserve">.  </w:t>
      </w:r>
      <w:r w:rsidRPr="00EF4E6C">
        <w:rPr>
          <w:rFonts w:eastAsia="Calibri"/>
        </w:rPr>
        <w:t xml:space="preserve"> </w:t>
      </w:r>
      <w:r>
        <w:rPr>
          <w:rFonts w:eastAsia="Calibri"/>
        </w:rPr>
        <w:t>Re is also focussing on equal opportunities and undertaking an equalities impact assessment in the review of housing strategy following changes in housing legislation and welfare reform.</w:t>
      </w:r>
    </w:p>
    <w:p w:rsidR="00517D55" w:rsidRPr="00E32ECB" w:rsidRDefault="00517D55" w:rsidP="00915688">
      <w:pPr>
        <w:rPr>
          <w:rFonts w:eastAsia="Calibri" w:cs="Arial"/>
          <w:sz w:val="24"/>
        </w:rPr>
      </w:pPr>
    </w:p>
    <w:p w:rsidR="00BC0306" w:rsidRDefault="00BC0306" w:rsidP="00BC0306">
      <w:pPr>
        <w:pStyle w:val="ListParagraph"/>
        <w:numPr>
          <w:ilvl w:val="0"/>
          <w:numId w:val="11"/>
        </w:numPr>
        <w:jc w:val="both"/>
        <w:rPr>
          <w:rFonts w:eastAsia="Calibri"/>
        </w:rPr>
      </w:pPr>
      <w:r>
        <w:rPr>
          <w:rFonts w:eastAsia="Calibri"/>
        </w:rPr>
        <w:t xml:space="preserve">Overall there have been some health improvements in Barnet- most notably child health outcomes outperform the London average and under 65 deaths from Cardio Vascular Disease continue to fall but life expectancy is only slightly increasing with a slight decrease in the gap in life expectancy between the richest and the poorest. </w:t>
      </w:r>
    </w:p>
    <w:p w:rsidR="00BC0306" w:rsidRDefault="00BC0306" w:rsidP="00BC0306">
      <w:pPr>
        <w:pStyle w:val="ListParagraph"/>
        <w:jc w:val="both"/>
        <w:rPr>
          <w:rFonts w:eastAsia="Calibri"/>
        </w:rPr>
      </w:pPr>
    </w:p>
    <w:p w:rsidR="00BC0306" w:rsidRDefault="00BC0306" w:rsidP="00BC0306">
      <w:pPr>
        <w:pStyle w:val="ListParagraph"/>
        <w:numPr>
          <w:ilvl w:val="0"/>
          <w:numId w:val="11"/>
        </w:numPr>
        <w:jc w:val="both"/>
        <w:rPr>
          <w:rFonts w:eastAsia="Calibri"/>
        </w:rPr>
      </w:pPr>
      <w:r>
        <w:rPr>
          <w:lang w:eastAsia="en-GB"/>
        </w:rPr>
        <w:t>The key area where we think we can do better is on our engagement with residents. The Resident Perception Survey shows a downward trend against the indicator ‘the council doesn’t do enough for people like me’. Overall 55% do not feel that the council does enough for people like me.  There are significant variations beneath this with almost two thirds of people with a limiting long term illness of disability sharing this perception together with people who have lived in the borough for a longer period of time (over 20 years).  The areas that are most likely to feel this way are Hendon, Colindale, West Finchley and Underhill.</w:t>
      </w:r>
    </w:p>
    <w:p w:rsidR="00726C2F" w:rsidRDefault="00BC0306" w:rsidP="00AF5CD3">
      <w:pPr>
        <w:pStyle w:val="ListParagraph"/>
        <w:numPr>
          <w:ilvl w:val="0"/>
          <w:numId w:val="11"/>
        </w:numPr>
        <w:tabs>
          <w:tab w:val="left" w:pos="7513"/>
        </w:tabs>
        <w:spacing w:before="120" w:after="120"/>
        <w:jc w:val="both"/>
      </w:pPr>
      <w:r w:rsidRPr="00726C2F">
        <w:rPr>
          <w:lang w:eastAsia="en-GB"/>
        </w:rPr>
        <w:t>We are not happy with the direction of travel on this indicator and we want to understand the meaning of it.  We will undertake further analysis to understand the reasons behind this perception</w:t>
      </w:r>
      <w:r w:rsidR="00726C2F">
        <w:rPr>
          <w:lang w:eastAsia="en-GB"/>
        </w:rPr>
        <w:t>.</w:t>
      </w:r>
    </w:p>
    <w:p w:rsidR="00E32ECB" w:rsidRDefault="00E32ECB" w:rsidP="00915688">
      <w:pPr>
        <w:rPr>
          <w:rFonts w:eastAsia="Calibri" w:cs="Arial"/>
          <w:sz w:val="24"/>
        </w:rPr>
      </w:pPr>
    </w:p>
    <w:p w:rsidR="00AF5CD3" w:rsidRPr="00AF5CD3" w:rsidRDefault="00AF5CD3" w:rsidP="00915688">
      <w:pPr>
        <w:rPr>
          <w:rFonts w:eastAsia="Calibri" w:cs="Arial"/>
          <w:b/>
          <w:sz w:val="28"/>
          <w:szCs w:val="28"/>
        </w:rPr>
      </w:pPr>
      <w:r w:rsidRPr="00AF5CD3">
        <w:rPr>
          <w:rFonts w:eastAsia="Calibri" w:cs="Arial"/>
          <w:b/>
          <w:sz w:val="28"/>
          <w:szCs w:val="28"/>
        </w:rPr>
        <w:t>How are we doing?</w:t>
      </w:r>
    </w:p>
    <w:p w:rsidR="00915688" w:rsidRPr="009E2AAC" w:rsidRDefault="00915688" w:rsidP="00915688">
      <w:pPr>
        <w:rPr>
          <w:rFonts w:eastAsia="Calibri" w:cs="Arial"/>
          <w:b/>
          <w:iCs/>
          <w:sz w:val="24"/>
        </w:rPr>
      </w:pPr>
      <w:r w:rsidRPr="009E2AAC">
        <w:rPr>
          <w:rFonts w:eastAsia="Calibri" w:cs="Arial"/>
          <w:sz w:val="24"/>
        </w:rPr>
        <w:t xml:space="preserve">The </w:t>
      </w:r>
      <w:r w:rsidR="005A21A6">
        <w:rPr>
          <w:rFonts w:eastAsia="Calibri" w:cs="Arial"/>
          <w:sz w:val="24"/>
        </w:rPr>
        <w:t xml:space="preserve">corporate </w:t>
      </w:r>
      <w:r w:rsidRPr="009E2AAC">
        <w:rPr>
          <w:rFonts w:eastAsia="Calibri" w:cs="Arial"/>
          <w:sz w:val="24"/>
        </w:rPr>
        <w:t>performance indicators are listed by the Corporate Plan objectives:</w:t>
      </w:r>
    </w:p>
    <w:p w:rsidR="00915688" w:rsidRPr="009E2AAC" w:rsidRDefault="00915688" w:rsidP="00915688">
      <w:pPr>
        <w:rPr>
          <w:rFonts w:eastAsia="Calibri" w:cs="Arial"/>
          <w:b/>
          <w:iCs/>
          <w:sz w:val="24"/>
        </w:rPr>
      </w:pPr>
    </w:p>
    <w:p w:rsidR="00915688" w:rsidRPr="009E2AAC" w:rsidRDefault="00915688" w:rsidP="00915688">
      <w:pPr>
        <w:rPr>
          <w:rFonts w:eastAsia="Calibri" w:cs="Arial"/>
          <w:b/>
          <w:iCs/>
          <w:sz w:val="24"/>
        </w:rPr>
      </w:pPr>
      <w:r w:rsidRPr="009E2AAC">
        <w:rPr>
          <w:rFonts w:eastAsia="Calibri" w:cs="Arial"/>
          <w:b/>
          <w:iCs/>
          <w:sz w:val="24"/>
        </w:rPr>
        <w:t>1. Promote responsible growth, development and success across the borough</w:t>
      </w:r>
    </w:p>
    <w:p w:rsidR="00915688" w:rsidRDefault="00915688" w:rsidP="00915688">
      <w:pPr>
        <w:shd w:val="clear" w:color="auto" w:fill="FFFFFF"/>
        <w:spacing w:before="100" w:beforeAutospacing="1" w:after="225" w:line="360" w:lineRule="atLeast"/>
        <w:rPr>
          <w:rFonts w:cs="Arial"/>
          <w:b/>
          <w:bCs/>
          <w:sz w:val="24"/>
          <w:lang w:val="en-US"/>
        </w:rPr>
      </w:pPr>
      <w:r w:rsidRPr="009E2AAC">
        <w:rPr>
          <w:rFonts w:eastAsia="Calibri" w:cs="Arial"/>
          <w:b/>
          <w:i/>
          <w:sz w:val="24"/>
        </w:rPr>
        <w:t xml:space="preserve">1.1 Reduce the employment gap between different groups of residents including those with protected characteristics. </w:t>
      </w:r>
      <w:r w:rsidRPr="009E2AAC">
        <w:rPr>
          <w:rFonts w:cs="Arial"/>
          <w:b/>
          <w:bCs/>
          <w:sz w:val="24"/>
          <w:lang w:val="en-US"/>
        </w:rPr>
        <w:t> </w:t>
      </w:r>
    </w:p>
    <w:p w:rsidR="00A64209" w:rsidRPr="00EF4E6C" w:rsidRDefault="00A64209" w:rsidP="00A64209">
      <w:pPr>
        <w:pStyle w:val="ListParagraph"/>
        <w:numPr>
          <w:ilvl w:val="0"/>
          <w:numId w:val="3"/>
        </w:numPr>
        <w:rPr>
          <w:rFonts w:eastAsia="Calibri"/>
        </w:rPr>
      </w:pPr>
      <w:r w:rsidRPr="00EF4E6C">
        <w:rPr>
          <w:rFonts w:eastAsia="Calibri"/>
        </w:rPr>
        <w:t xml:space="preserve">The overall unemployment rate in Barnet is 6.4%, this compares to a London rate of 8.5% (Source: NOMIS, Dec – Jan 2013) </w:t>
      </w:r>
    </w:p>
    <w:p w:rsidR="00A64209" w:rsidRPr="00EF4E6C" w:rsidRDefault="00A64209" w:rsidP="00A64209">
      <w:pPr>
        <w:pStyle w:val="ListParagraph"/>
        <w:numPr>
          <w:ilvl w:val="0"/>
          <w:numId w:val="3"/>
        </w:numPr>
        <w:rPr>
          <w:rFonts w:eastAsia="Calibri"/>
        </w:rPr>
      </w:pPr>
      <w:r w:rsidRPr="00EF4E6C">
        <w:rPr>
          <w:rFonts w:eastAsia="Calibri"/>
        </w:rPr>
        <w:t xml:space="preserve">11.8% of Barnet’s working age population have a disability (Source: Annual Population Survey (NOMIS), Jan – Dec 2012). </w:t>
      </w:r>
    </w:p>
    <w:p w:rsidR="00A64209" w:rsidRPr="00EF4E6C" w:rsidRDefault="00A64209" w:rsidP="00A64209">
      <w:pPr>
        <w:pStyle w:val="ListParagraph"/>
        <w:numPr>
          <w:ilvl w:val="0"/>
          <w:numId w:val="3"/>
        </w:numPr>
        <w:rPr>
          <w:rFonts w:eastAsia="Calibri"/>
        </w:rPr>
      </w:pPr>
      <w:r w:rsidRPr="00EF4E6C">
        <w:rPr>
          <w:rFonts w:eastAsia="Calibri"/>
        </w:rPr>
        <w:t>Limited data is available to allow analysis by age, ethnic group and religion to assess whether there are any notable employment gaps between these groups. However the 2011 census data evidence shows lower employment rates for women and BME groups, job seekers over 50, people with disabilities and people of the Muslim faith. Barnet Council will therefore consider how to better understand and take into account the needs/ interests of underrepresented groups in our commissioning plans.</w:t>
      </w:r>
    </w:p>
    <w:p w:rsidR="00A64209" w:rsidRDefault="00A64209" w:rsidP="00AF5CD3">
      <w:pPr>
        <w:pStyle w:val="ListParagraph"/>
        <w:rPr>
          <w:rFonts w:eastAsia="Calibri"/>
        </w:rPr>
      </w:pPr>
    </w:p>
    <w:p w:rsidR="00915688" w:rsidRPr="009E2AAC" w:rsidRDefault="00915688" w:rsidP="00915688">
      <w:pPr>
        <w:spacing w:after="200" w:line="276" w:lineRule="auto"/>
        <w:contextualSpacing/>
        <w:rPr>
          <w:rFonts w:eastAsia="Calibri" w:cs="Arial"/>
          <w:b/>
          <w:i/>
          <w:sz w:val="24"/>
        </w:rPr>
      </w:pPr>
      <w:r w:rsidRPr="009E2AAC">
        <w:rPr>
          <w:rFonts w:eastAsia="Calibri" w:cs="Arial"/>
          <w:b/>
          <w:sz w:val="24"/>
        </w:rPr>
        <w:t xml:space="preserve">1.2 </w:t>
      </w:r>
      <w:r w:rsidRPr="009E2AAC">
        <w:rPr>
          <w:rFonts w:eastAsia="Calibri" w:cs="Arial"/>
          <w:b/>
          <w:i/>
          <w:sz w:val="24"/>
        </w:rPr>
        <w:t>Increase the number of contracts with external suppliers which include conditions on employing local labour, investing in apprenticeships and creating new jobs in numbers representative of groups with protected characteristics locally.</w:t>
      </w:r>
    </w:p>
    <w:p w:rsidR="00915688" w:rsidRDefault="00915688" w:rsidP="00915688">
      <w:pPr>
        <w:pStyle w:val="ListParagraph"/>
        <w:numPr>
          <w:ilvl w:val="0"/>
          <w:numId w:val="3"/>
        </w:numPr>
        <w:rPr>
          <w:rFonts w:eastAsia="Calibri"/>
        </w:rPr>
      </w:pPr>
      <w:r w:rsidRPr="009E2AAC">
        <w:rPr>
          <w:rFonts w:eastAsia="Calibri"/>
        </w:rPr>
        <w:t xml:space="preserve">LBB has signed up to </w:t>
      </w:r>
      <w:r w:rsidR="00475C01">
        <w:rPr>
          <w:rFonts w:eastAsia="Calibri"/>
        </w:rPr>
        <w:t xml:space="preserve">The </w:t>
      </w:r>
      <w:r w:rsidRPr="009E2AAC">
        <w:rPr>
          <w:rFonts w:eastAsia="Calibri"/>
        </w:rPr>
        <w:t>London Procurement Pledge which, within standard tender documentation, includes a commitment to ensure an increase in the number of apprenticeships and work experience schemes operating throughout the supply chain</w:t>
      </w:r>
      <w:r w:rsidR="00475C01">
        <w:rPr>
          <w:rFonts w:eastAsia="Calibri"/>
        </w:rPr>
        <w:t>.</w:t>
      </w:r>
    </w:p>
    <w:p w:rsidR="00475C01" w:rsidRPr="00475C01" w:rsidRDefault="00475C01" w:rsidP="00475C01">
      <w:pPr>
        <w:ind w:left="360"/>
        <w:rPr>
          <w:rFonts w:eastAsia="Calibri"/>
        </w:rPr>
      </w:pPr>
    </w:p>
    <w:p w:rsidR="00CE0C31" w:rsidRPr="00475C01" w:rsidRDefault="00CE0C31" w:rsidP="00475C01">
      <w:pPr>
        <w:ind w:left="360"/>
        <w:rPr>
          <w:rFonts w:eastAsia="Calibri"/>
        </w:rPr>
      </w:pPr>
    </w:p>
    <w:p w:rsidR="00CE0C31" w:rsidRPr="00CE0C31" w:rsidRDefault="00CE0C31" w:rsidP="00475C01">
      <w:pPr>
        <w:pStyle w:val="ListParagraph"/>
        <w:numPr>
          <w:ilvl w:val="0"/>
          <w:numId w:val="3"/>
        </w:numPr>
      </w:pPr>
      <w:r>
        <w:rPr>
          <w:rFonts w:eastAsia="Calibri"/>
        </w:rPr>
        <w:t>T</w:t>
      </w:r>
      <w:r w:rsidRPr="00CE0C31">
        <w:rPr>
          <w:rFonts w:eastAsia="Calibri"/>
        </w:rPr>
        <w:t xml:space="preserve">here are provisions within the CAPITA </w:t>
      </w:r>
      <w:r w:rsidR="008C1B7A">
        <w:rPr>
          <w:rFonts w:eastAsia="Calibri"/>
        </w:rPr>
        <w:t xml:space="preserve">contract </w:t>
      </w:r>
      <w:r w:rsidR="008C1B7A" w:rsidRPr="00CE0C31">
        <w:t xml:space="preserve">to create 500 opportunities (100 apprenticeships and 400 placements </w:t>
      </w:r>
      <w:r w:rsidRPr="00CE0C31">
        <w:t xml:space="preserve">over the 10 years of the contract </w:t>
      </w:r>
      <w:r>
        <w:t>(September 2013 – September 2023)</w:t>
      </w:r>
      <w:r w:rsidR="008C1B7A">
        <w:t xml:space="preserve">.  </w:t>
      </w:r>
      <w:r>
        <w:t xml:space="preserve">These </w:t>
      </w:r>
      <w:r w:rsidRPr="00CE0C31">
        <w:t xml:space="preserve">are not evenly </w:t>
      </w:r>
      <w:r>
        <w:t xml:space="preserve">spread and increase each year from a start point of </w:t>
      </w:r>
      <w:r w:rsidR="00BB14AC" w:rsidRPr="00CE0C31">
        <w:t>4</w:t>
      </w:r>
      <w:r w:rsidR="00726C2F">
        <w:t xml:space="preserve"> </w:t>
      </w:r>
      <w:r w:rsidR="00BB14AC">
        <w:t>apprenticeships and</w:t>
      </w:r>
      <w:r>
        <w:t xml:space="preserve"> </w:t>
      </w:r>
      <w:r w:rsidRPr="00CE0C31">
        <w:t>16</w:t>
      </w:r>
      <w:r>
        <w:t xml:space="preserve"> placements. I</w:t>
      </w:r>
      <w:r w:rsidRPr="00CE0C31">
        <w:t>mplementation is profiled and monitored in line with the contract.</w:t>
      </w:r>
    </w:p>
    <w:p w:rsidR="00CE0C31" w:rsidRPr="00CE0C31" w:rsidRDefault="00CE0C31" w:rsidP="00475C01">
      <w:pPr>
        <w:pStyle w:val="ListParagraph"/>
      </w:pPr>
    </w:p>
    <w:p w:rsidR="00915688" w:rsidRPr="009E2AAC" w:rsidRDefault="00915688" w:rsidP="00915688">
      <w:pPr>
        <w:rPr>
          <w:rFonts w:eastAsia="Calibri" w:cs="Arial"/>
          <w:sz w:val="24"/>
        </w:rPr>
      </w:pPr>
    </w:p>
    <w:p w:rsidR="00915688" w:rsidRPr="009E2AAC" w:rsidRDefault="00915688" w:rsidP="00915688">
      <w:pPr>
        <w:rPr>
          <w:rFonts w:eastAsia="Calibri" w:cs="Arial"/>
          <w:sz w:val="24"/>
        </w:rPr>
      </w:pPr>
      <w:r w:rsidRPr="009E2AAC">
        <w:rPr>
          <w:rFonts w:eastAsia="Calibri" w:cs="Arial"/>
          <w:b/>
          <w:sz w:val="24"/>
        </w:rPr>
        <w:t xml:space="preserve">2. </w:t>
      </w:r>
      <w:r w:rsidRPr="009E2AAC">
        <w:rPr>
          <w:rFonts w:eastAsia="Calibri" w:cs="Arial"/>
          <w:b/>
          <w:iCs/>
          <w:sz w:val="24"/>
        </w:rPr>
        <w:t>Support families and individuals that need it– promoting independence, learning and well-being</w:t>
      </w:r>
    </w:p>
    <w:p w:rsidR="00915688" w:rsidRPr="009E2AAC" w:rsidRDefault="00915688" w:rsidP="00915688">
      <w:pPr>
        <w:pStyle w:val="ListParagraph"/>
        <w:spacing w:line="276" w:lineRule="auto"/>
        <w:ind w:left="360"/>
        <w:rPr>
          <w:rFonts w:eastAsia="Calibri"/>
        </w:rPr>
      </w:pPr>
    </w:p>
    <w:p w:rsidR="00915688" w:rsidRDefault="00915688" w:rsidP="00915688">
      <w:pPr>
        <w:spacing w:line="276" w:lineRule="auto"/>
        <w:contextualSpacing/>
        <w:rPr>
          <w:rFonts w:eastAsia="Calibri" w:cs="Arial"/>
          <w:b/>
          <w:i/>
          <w:sz w:val="24"/>
        </w:rPr>
      </w:pPr>
      <w:r w:rsidRPr="009E2AAC">
        <w:rPr>
          <w:rFonts w:cs="Arial"/>
          <w:b/>
          <w:bCs/>
          <w:sz w:val="24"/>
          <w:lang w:val="en-US"/>
        </w:rPr>
        <w:t xml:space="preserve">2.1 </w:t>
      </w:r>
      <w:r w:rsidRPr="009E2AAC">
        <w:rPr>
          <w:rFonts w:eastAsia="Calibri" w:cs="Arial"/>
          <w:b/>
          <w:i/>
          <w:iCs/>
          <w:sz w:val="24"/>
        </w:rPr>
        <w:t xml:space="preserve">Reduction of gap in life expectancy and health across the borough, analysed </w:t>
      </w:r>
      <w:r w:rsidRPr="009E2AAC">
        <w:rPr>
          <w:rFonts w:eastAsia="Calibri" w:cs="Arial"/>
          <w:b/>
          <w:i/>
          <w:sz w:val="24"/>
        </w:rPr>
        <w:t>by protected characteristics.</w:t>
      </w:r>
    </w:p>
    <w:p w:rsidR="00475C01" w:rsidRPr="009E2AAC" w:rsidRDefault="00475C01" w:rsidP="00915688">
      <w:pPr>
        <w:spacing w:line="276" w:lineRule="auto"/>
        <w:contextualSpacing/>
        <w:rPr>
          <w:rFonts w:eastAsia="Calibri" w:cs="Arial"/>
          <w:b/>
          <w:i/>
          <w:sz w:val="24"/>
        </w:rPr>
      </w:pPr>
    </w:p>
    <w:p w:rsidR="005A21A6" w:rsidRPr="008F3A42" w:rsidRDefault="005A21A6" w:rsidP="00BB14AC">
      <w:pPr>
        <w:pStyle w:val="ListParagraph"/>
        <w:numPr>
          <w:ilvl w:val="0"/>
          <w:numId w:val="10"/>
        </w:numPr>
      </w:pPr>
      <w:bookmarkStart w:id="1" w:name="OLE_LINK1"/>
      <w:r w:rsidRPr="008F3A42">
        <w:t xml:space="preserve">Latest </w:t>
      </w:r>
      <w:r w:rsidR="00726C2F">
        <w:t>P</w:t>
      </w:r>
      <w:r w:rsidRPr="008F3A42">
        <w:t xml:space="preserve">ublic </w:t>
      </w:r>
      <w:r w:rsidR="00726C2F">
        <w:t>H</w:t>
      </w:r>
      <w:r w:rsidRPr="008F3A42">
        <w:t xml:space="preserve">ealth data (May 2014) shows the </w:t>
      </w:r>
      <w:r w:rsidR="008F3A42" w:rsidRPr="008F3A42">
        <w:t>borough l</w:t>
      </w:r>
      <w:r w:rsidRPr="008F3A42">
        <w:t>ife expectancy for 2010-12</w:t>
      </w:r>
      <w:r w:rsidR="008F3A42" w:rsidRPr="008F3A42">
        <w:t xml:space="preserve"> </w:t>
      </w:r>
      <w:r w:rsidR="008C1B7A" w:rsidRPr="008F3A42">
        <w:t>as Male</w:t>
      </w:r>
      <w:r w:rsidRPr="008F3A42">
        <w:t xml:space="preserve"> life expectancy  at birth </w:t>
      </w:r>
      <w:r w:rsidR="00475C01">
        <w:t>as</w:t>
      </w:r>
      <w:r w:rsidRPr="008F3A42">
        <w:t xml:space="preserve"> 81.4 years (2010-12 data)</w:t>
      </w:r>
      <w:r w:rsidR="008F3A42" w:rsidRPr="008F3A42">
        <w:t xml:space="preserve"> and </w:t>
      </w:r>
      <w:r w:rsidRPr="008F3A42">
        <w:t xml:space="preserve">Female life expectancy at birth </w:t>
      </w:r>
      <w:r w:rsidR="008F3A42" w:rsidRPr="008F3A42">
        <w:t>a</w:t>
      </w:r>
      <w:r w:rsidRPr="008F3A42">
        <w:t>s 84.5 years (2010-12 data)</w:t>
      </w:r>
      <w:r w:rsidR="008F3A42" w:rsidRPr="008F3A42">
        <w:t>. Me</w:t>
      </w:r>
      <w:r w:rsidRPr="008F3A42">
        <w:t>n in Barnet live on average 2.2 years longer than the England average and women 1.5 years longer</w:t>
      </w:r>
      <w:r w:rsidR="008F3A42" w:rsidRPr="008F3A42">
        <w:t xml:space="preserve"> than the England average.</w:t>
      </w:r>
    </w:p>
    <w:p w:rsidR="005A21A6" w:rsidRDefault="005A21A6" w:rsidP="005A21A6">
      <w:pPr>
        <w:rPr>
          <w:rFonts w:cs="Arial"/>
        </w:rPr>
      </w:pPr>
    </w:p>
    <w:p w:rsidR="005A21A6" w:rsidRPr="008F3A42" w:rsidRDefault="005A21A6" w:rsidP="00BB14AC">
      <w:pPr>
        <w:pStyle w:val="ListParagraph"/>
        <w:numPr>
          <w:ilvl w:val="0"/>
          <w:numId w:val="10"/>
        </w:numPr>
      </w:pPr>
      <w:r w:rsidRPr="008F3A42">
        <w:t xml:space="preserve">Public Health use a slope index of inequality  based on local deprivation deciles </w:t>
      </w:r>
      <w:r w:rsidR="008F3A42" w:rsidRPr="008F3A42">
        <w:t xml:space="preserve">which suggests that </w:t>
      </w:r>
      <w:r w:rsidRPr="008F3A42">
        <w:t>men in the most deprived 10% of Barnet live on average 7.8 years less than men in the least deprived 10% of the borough.  Women in the most deprived 10% of the borough live on average 5.6 years less than the least deprived 10% of the Borough.</w:t>
      </w:r>
    </w:p>
    <w:p w:rsidR="00915688" w:rsidRPr="009E2AAC" w:rsidRDefault="00915688" w:rsidP="00915688">
      <w:pPr>
        <w:pStyle w:val="ListParagraph"/>
        <w:spacing w:line="276" w:lineRule="auto"/>
        <w:ind w:left="1647"/>
        <w:rPr>
          <w:rFonts w:eastAsia="Calibri"/>
        </w:rPr>
      </w:pPr>
    </w:p>
    <w:bookmarkEnd w:id="1"/>
    <w:p w:rsidR="00F628F8" w:rsidRDefault="00F628F8" w:rsidP="00F628F8">
      <w:pPr>
        <w:pStyle w:val="ListParagraph"/>
        <w:numPr>
          <w:ilvl w:val="0"/>
          <w:numId w:val="10"/>
        </w:numPr>
        <w:tabs>
          <w:tab w:val="left" w:pos="7513"/>
        </w:tabs>
        <w:spacing w:before="120" w:after="120"/>
      </w:pPr>
      <w:r w:rsidRPr="00F628F8">
        <w:t>It is disappointing that life expectancy for men and women in most deprived 10% of the borough which has shown no improvement in the year. This suggests the need to continue to monitor the impact of disadvantage and poverty on health and wellbeing as well as taking into account the protected characteristics outlined in the 2010 Equality Act.</w:t>
      </w:r>
    </w:p>
    <w:p w:rsidR="00F628F8" w:rsidRDefault="00F628F8" w:rsidP="00F628F8">
      <w:pPr>
        <w:pStyle w:val="ListParagraph"/>
      </w:pPr>
    </w:p>
    <w:p w:rsidR="00BC0306" w:rsidRPr="00BC0306" w:rsidRDefault="00BC0306" w:rsidP="00BC0306">
      <w:pPr>
        <w:pStyle w:val="ListParagraph"/>
        <w:numPr>
          <w:ilvl w:val="0"/>
          <w:numId w:val="10"/>
        </w:numPr>
        <w:autoSpaceDE w:val="0"/>
        <w:autoSpaceDN w:val="0"/>
        <w:adjustRightInd w:val="0"/>
      </w:pPr>
      <w:r w:rsidRPr="00BC0306">
        <w:t xml:space="preserve">Bespoke analysis using ONS Census data 2011 suggests life expectancy for BME groups is broadly in line with the national average and white population. Lowest life expectancy Black </w:t>
      </w:r>
      <w:r w:rsidRPr="00BC0306">
        <w:t>Caribbean</w:t>
      </w:r>
      <w:r w:rsidRPr="00BC0306">
        <w:t xml:space="preserve"> </w:t>
      </w:r>
      <w:r w:rsidRPr="00BC0306">
        <w:t>men Bangladeshi</w:t>
      </w:r>
      <w:r w:rsidRPr="00BC0306">
        <w:t xml:space="preserve"> men (77.13) and Pakistani women (80.77) Source Portrait of </w:t>
      </w:r>
      <w:r w:rsidRPr="00BC0306">
        <w:t>Modern</w:t>
      </w:r>
      <w:r w:rsidRPr="00BC0306">
        <w:t xml:space="preserve"> Britain policy exchange.org.uk</w:t>
      </w:r>
    </w:p>
    <w:p w:rsidR="00BC0306" w:rsidRPr="00BC0306" w:rsidRDefault="00BC0306" w:rsidP="00BC0306">
      <w:pPr>
        <w:pStyle w:val="ListParagraph"/>
        <w:rPr>
          <w:color w:val="FF0000"/>
        </w:rPr>
      </w:pPr>
    </w:p>
    <w:p w:rsidR="00915688" w:rsidRDefault="00915688" w:rsidP="00BB14AC">
      <w:pPr>
        <w:pStyle w:val="ListParagraph"/>
        <w:numPr>
          <w:ilvl w:val="0"/>
          <w:numId w:val="10"/>
        </w:numPr>
        <w:rPr>
          <w:rFonts w:eastAsia="Calibri"/>
        </w:rPr>
      </w:pPr>
      <w:r w:rsidRPr="009E2AAC">
        <w:rPr>
          <w:rFonts w:eastAsia="Calibri"/>
        </w:rPr>
        <w:t>Public Health priorities aim to reduce health inequalities and differences in life expectancy, for example they aim to reduce the prevalence of smoking in pregnancy to below the London average through smoking cessation programmes and health awareness activities in early years settings</w:t>
      </w:r>
    </w:p>
    <w:p w:rsidR="00F628F8" w:rsidRPr="00F628F8" w:rsidRDefault="00F628F8" w:rsidP="00F628F8">
      <w:pPr>
        <w:pStyle w:val="ListParagraph"/>
        <w:rPr>
          <w:rFonts w:eastAsia="Calibri"/>
        </w:rPr>
      </w:pPr>
    </w:p>
    <w:p w:rsidR="00B05972" w:rsidRDefault="00B05972" w:rsidP="00B05972">
      <w:pPr>
        <w:pStyle w:val="ListParagraph"/>
        <w:numPr>
          <w:ilvl w:val="0"/>
          <w:numId w:val="3"/>
        </w:numPr>
        <w:rPr>
          <w:rFonts w:eastAsia="Calibri"/>
        </w:rPr>
      </w:pPr>
      <w:r w:rsidRPr="00F628F8">
        <w:rPr>
          <w:rFonts w:eastAsia="Calibri"/>
        </w:rPr>
        <w:t xml:space="preserve">The current Health and Wellbeing Strategy (2012 to 2015) coordinates a range of different partner priorities. This recognises the particular needs of older people, younger people (particularly NEETs and Troubled Families), people with learning disabilities and mental health problems and people with a lower socio economic status. </w:t>
      </w:r>
    </w:p>
    <w:p w:rsidR="00B05972" w:rsidRPr="00586CF1" w:rsidRDefault="00B05972" w:rsidP="00B05972">
      <w:pPr>
        <w:ind w:left="360"/>
        <w:rPr>
          <w:rFonts w:eastAsia="Calibri"/>
        </w:rPr>
      </w:pPr>
    </w:p>
    <w:p w:rsidR="00B05972" w:rsidRPr="00586CF1" w:rsidRDefault="00B05972" w:rsidP="00B05972">
      <w:pPr>
        <w:pStyle w:val="ListParagraph"/>
        <w:numPr>
          <w:ilvl w:val="0"/>
          <w:numId w:val="3"/>
        </w:numPr>
        <w:autoSpaceDE w:val="0"/>
        <w:autoSpaceDN w:val="0"/>
        <w:adjustRightInd w:val="0"/>
      </w:pPr>
      <w:r w:rsidRPr="00586CF1">
        <w:t>P</w:t>
      </w:r>
      <w:r w:rsidR="00BC0306" w:rsidRPr="00586CF1">
        <w:t xml:space="preserve">ublic Health </w:t>
      </w:r>
      <w:r w:rsidRPr="00586CF1">
        <w:t xml:space="preserve">have undertaken in depth Joint strategic needs assessment with Adults and Communities and Children’s </w:t>
      </w:r>
      <w:r w:rsidR="00BC0306" w:rsidRPr="00586CF1">
        <w:t>Delivery Units</w:t>
      </w:r>
      <w:r w:rsidRPr="00586CF1">
        <w:t xml:space="preserve"> on children and young people, maternity and infant health,  Healthy Life Expectancy, Diabetes, Heart Disease, Dementia </w:t>
      </w:r>
      <w:r w:rsidR="00BC0306" w:rsidRPr="00586CF1">
        <w:t xml:space="preserve"> and </w:t>
      </w:r>
      <w:r w:rsidRPr="00586CF1">
        <w:t xml:space="preserve"> mental health</w:t>
      </w:r>
      <w:r w:rsidR="00BC0306" w:rsidRPr="00586CF1">
        <w:t xml:space="preserve">.  These </w:t>
      </w:r>
      <w:r w:rsidRPr="00586CF1">
        <w:t>contain detailed equalities data and inform service delivery practice.</w:t>
      </w:r>
    </w:p>
    <w:p w:rsidR="00B05972" w:rsidRDefault="00B05972" w:rsidP="00B05972">
      <w:pPr>
        <w:autoSpaceDE w:val="0"/>
        <w:autoSpaceDN w:val="0"/>
        <w:adjustRightInd w:val="0"/>
        <w:ind w:left="360"/>
        <w:rPr>
          <w:color w:val="FF0000"/>
        </w:rPr>
      </w:pPr>
    </w:p>
    <w:p w:rsidR="004408DB" w:rsidRPr="009E2AAC" w:rsidRDefault="004408DB" w:rsidP="00915688">
      <w:pPr>
        <w:pStyle w:val="ListParagraph"/>
        <w:rPr>
          <w:rFonts w:eastAsia="Calibri"/>
        </w:rPr>
      </w:pPr>
    </w:p>
    <w:p w:rsidR="00915688" w:rsidRPr="009E2AAC" w:rsidRDefault="00915688" w:rsidP="00915688">
      <w:pPr>
        <w:spacing w:line="276" w:lineRule="auto"/>
        <w:rPr>
          <w:rFonts w:eastAsia="Calibri"/>
          <w:b/>
          <w:i/>
          <w:iCs/>
          <w:sz w:val="24"/>
        </w:rPr>
      </w:pPr>
      <w:r w:rsidRPr="009E2AAC">
        <w:rPr>
          <w:rFonts w:eastAsia="Calibri"/>
          <w:b/>
          <w:i/>
          <w:iCs/>
          <w:sz w:val="24"/>
        </w:rPr>
        <w:t>2.2 100% of new builds in the borough to meet lifetime homes standards, 10% to be wheelchair accessible.</w:t>
      </w:r>
    </w:p>
    <w:p w:rsidR="00915688" w:rsidRPr="009E2AAC" w:rsidRDefault="00915688" w:rsidP="00915688">
      <w:pPr>
        <w:spacing w:line="276" w:lineRule="auto"/>
        <w:rPr>
          <w:rFonts w:eastAsia="Calibri"/>
          <w:b/>
          <w:i/>
          <w:sz w:val="24"/>
        </w:rPr>
      </w:pPr>
    </w:p>
    <w:p w:rsidR="00475C01" w:rsidRPr="00517D55" w:rsidRDefault="00517D55" w:rsidP="00475C01">
      <w:pPr>
        <w:pStyle w:val="ListParagraph"/>
        <w:numPr>
          <w:ilvl w:val="0"/>
          <w:numId w:val="4"/>
        </w:numPr>
        <w:rPr>
          <w:lang w:eastAsia="en-GB"/>
        </w:rPr>
      </w:pPr>
      <w:r w:rsidRPr="00517D55">
        <w:rPr>
          <w:lang w:eastAsia="en-GB"/>
        </w:rPr>
        <w:t xml:space="preserve">This objective forms part of the </w:t>
      </w:r>
      <w:hyperlink r:id="rId7" w:history="1">
        <w:r w:rsidRPr="00517D55">
          <w:rPr>
            <w:rStyle w:val="Hyperlink"/>
            <w:color w:val="auto"/>
          </w:rPr>
          <w:t>LBB Core Strategy</w:t>
        </w:r>
      </w:hyperlink>
      <w:r w:rsidRPr="00517D55">
        <w:rPr>
          <w:lang w:eastAsia="en-GB"/>
        </w:rPr>
        <w:t xml:space="preserve"> (September, 2012) which is implemented by Re, the new joint venture between the council and Capita, to run development and regulatory services. </w:t>
      </w:r>
      <w:r w:rsidR="00475C01" w:rsidRPr="00517D55">
        <w:rPr>
          <w:lang w:eastAsia="en-GB"/>
        </w:rPr>
        <w:t>Performance on Lifetime Homes has improved since October 1</w:t>
      </w:r>
      <w:r w:rsidR="00475C01" w:rsidRPr="00517D55">
        <w:rPr>
          <w:vertAlign w:val="superscript"/>
          <w:lang w:eastAsia="en-GB"/>
        </w:rPr>
        <w:t>st</w:t>
      </w:r>
      <w:r w:rsidR="00475C01" w:rsidRPr="00517D55">
        <w:rPr>
          <w:lang w:eastAsia="en-GB"/>
        </w:rPr>
        <w:t xml:space="preserve"> the launch date of Re. </w:t>
      </w:r>
      <w:r w:rsidR="00BF0D53">
        <w:rPr>
          <w:lang w:eastAsia="en-GB"/>
        </w:rPr>
        <w:t xml:space="preserve"> There has also been an </w:t>
      </w:r>
      <w:r w:rsidR="00475C01" w:rsidRPr="00517D55">
        <w:rPr>
          <w:lang w:eastAsia="en-GB"/>
        </w:rPr>
        <w:t xml:space="preserve">increase for Wheelchair Homes accounting for 7.4% of new homes approved. There are often practical difficulties that can arise when seeking to modify existing buildings through conversion or change of use. </w:t>
      </w:r>
    </w:p>
    <w:p w:rsidR="00517D55" w:rsidRPr="00517D55" w:rsidRDefault="00517D55" w:rsidP="00517D55">
      <w:pPr>
        <w:pStyle w:val="ListParagraph"/>
        <w:numPr>
          <w:ilvl w:val="0"/>
          <w:numId w:val="4"/>
        </w:numPr>
        <w:rPr>
          <w:lang w:eastAsia="en-GB"/>
        </w:rPr>
      </w:pPr>
      <w:r w:rsidRPr="00517D55">
        <w:rPr>
          <w:lang w:eastAsia="en-GB"/>
        </w:rPr>
        <w:t xml:space="preserve">Levels of Lifetime Homes approved have risen throughout the 2013/14 financial year. </w:t>
      </w:r>
      <w:r w:rsidR="009675D2">
        <w:rPr>
          <w:lang w:eastAsia="en-GB"/>
        </w:rPr>
        <w:t xml:space="preserve"> </w:t>
      </w:r>
      <w:r w:rsidRPr="00517D55">
        <w:rPr>
          <w:lang w:eastAsia="en-GB"/>
        </w:rPr>
        <w:t>Just under 80% of new homes approved in 2013/14 will deliver Lifetime Homes standards. This compares with 65% in 2012/13. Between October 1</w:t>
      </w:r>
      <w:r w:rsidRPr="00517D55">
        <w:rPr>
          <w:vertAlign w:val="superscript"/>
          <w:lang w:eastAsia="en-GB"/>
        </w:rPr>
        <w:t>st</w:t>
      </w:r>
      <w:r w:rsidRPr="00517D55">
        <w:rPr>
          <w:lang w:eastAsia="en-GB"/>
        </w:rPr>
        <w:t xml:space="preserve"> and March 31</w:t>
      </w:r>
      <w:r w:rsidRPr="00517D55">
        <w:rPr>
          <w:vertAlign w:val="superscript"/>
          <w:lang w:eastAsia="en-GB"/>
        </w:rPr>
        <w:t>st</w:t>
      </w:r>
      <w:r w:rsidRPr="00517D55">
        <w:rPr>
          <w:lang w:eastAsia="en-GB"/>
        </w:rPr>
        <w:t xml:space="preserve"> 2014 83% of new homes approved met Lifetime Homes standards.</w:t>
      </w:r>
    </w:p>
    <w:p w:rsidR="00EF4E6C" w:rsidRDefault="00517D55" w:rsidP="00517D55">
      <w:pPr>
        <w:pStyle w:val="ListParagraph"/>
        <w:numPr>
          <w:ilvl w:val="0"/>
          <w:numId w:val="4"/>
        </w:numPr>
        <w:rPr>
          <w:lang w:eastAsia="en-GB"/>
        </w:rPr>
      </w:pPr>
      <w:r w:rsidRPr="00517D55">
        <w:rPr>
          <w:lang w:eastAsia="en-GB"/>
        </w:rPr>
        <w:t xml:space="preserve">Wheelchair Homes are more difficult to deliver. In 2013/14, 7.0% of new homes approved will deliver Wheelchair Homes against a Local Plan target of 10%. This compares with 3% in 2012/13. </w:t>
      </w:r>
    </w:p>
    <w:p w:rsidR="00517D55" w:rsidRPr="00517D55" w:rsidRDefault="00517D55" w:rsidP="00517D55">
      <w:pPr>
        <w:ind w:left="720"/>
        <w:rPr>
          <w:rFonts w:cs="Arial"/>
          <w:sz w:val="24"/>
        </w:rPr>
      </w:pPr>
    </w:p>
    <w:p w:rsidR="004E6078" w:rsidRPr="009E2AAC" w:rsidRDefault="004E6078" w:rsidP="004E6078">
      <w:pPr>
        <w:pStyle w:val="ListParagraph"/>
        <w:rPr>
          <w:rFonts w:eastAsia="Calibri"/>
        </w:rPr>
      </w:pPr>
    </w:p>
    <w:p w:rsidR="00915688" w:rsidRPr="009E2AAC" w:rsidRDefault="00915688" w:rsidP="00915688">
      <w:pPr>
        <w:spacing w:line="276" w:lineRule="auto"/>
        <w:contextualSpacing/>
        <w:rPr>
          <w:rFonts w:eastAsia="Calibri" w:cs="Arial"/>
          <w:sz w:val="24"/>
        </w:rPr>
      </w:pPr>
      <w:r w:rsidRPr="009E2AAC">
        <w:rPr>
          <w:rFonts w:eastAsia="Calibri" w:cs="Arial"/>
          <w:b/>
          <w:sz w:val="24"/>
        </w:rPr>
        <w:t xml:space="preserve">3. </w:t>
      </w:r>
      <w:r w:rsidRPr="009E2AAC">
        <w:rPr>
          <w:rFonts w:eastAsia="Calibri" w:cs="Arial"/>
          <w:b/>
          <w:iCs/>
          <w:sz w:val="24"/>
        </w:rPr>
        <w:t>Improve the satisfaction of residents and businesses with the London Borough of Barnet as a place to live, work and study</w:t>
      </w:r>
      <w:r w:rsidR="00726C2F">
        <w:rPr>
          <w:rFonts w:eastAsia="Calibri" w:cs="Arial"/>
          <w:b/>
          <w:iCs/>
          <w:sz w:val="24"/>
        </w:rPr>
        <w:t>.</w:t>
      </w:r>
    </w:p>
    <w:p w:rsidR="00915688" w:rsidRPr="004E6078" w:rsidRDefault="00915688" w:rsidP="004408DB">
      <w:pPr>
        <w:spacing w:after="200" w:line="276" w:lineRule="auto"/>
        <w:contextualSpacing/>
        <w:rPr>
          <w:rFonts w:eastAsia="Calibri" w:cs="Arial"/>
          <w:color w:val="FF0000"/>
          <w:sz w:val="24"/>
        </w:rPr>
      </w:pPr>
    </w:p>
    <w:p w:rsidR="002F6232" w:rsidRPr="009E2AAC" w:rsidRDefault="003C7DFC" w:rsidP="002F6232">
      <w:pPr>
        <w:spacing w:after="200" w:line="276" w:lineRule="auto"/>
        <w:rPr>
          <w:rFonts w:eastAsia="Calibri" w:cs="Arial"/>
          <w:color w:val="FF0000"/>
          <w:sz w:val="24"/>
        </w:rPr>
      </w:pPr>
      <w:r w:rsidRPr="009E2AAC">
        <w:rPr>
          <w:rFonts w:eastAsia="Calibri" w:cs="Arial"/>
          <w:b/>
          <w:i/>
          <w:iCs/>
          <w:sz w:val="24"/>
        </w:rPr>
        <w:t xml:space="preserve"> </w:t>
      </w:r>
      <w:r w:rsidR="00915688" w:rsidRPr="009E2AAC">
        <w:rPr>
          <w:rFonts w:eastAsia="Calibri" w:cs="Arial"/>
          <w:b/>
          <w:i/>
          <w:iCs/>
          <w:sz w:val="24"/>
        </w:rPr>
        <w:t xml:space="preserve">3.1 </w:t>
      </w:r>
      <w:r w:rsidR="00204CDC">
        <w:rPr>
          <w:rFonts w:eastAsia="Calibri" w:cs="Arial"/>
          <w:b/>
          <w:i/>
          <w:iCs/>
          <w:sz w:val="24"/>
        </w:rPr>
        <w:t xml:space="preserve">The target is that </w:t>
      </w:r>
      <w:r w:rsidR="00915688" w:rsidRPr="009E2AAC">
        <w:rPr>
          <w:rFonts w:eastAsia="Calibri" w:cs="Arial"/>
          <w:b/>
          <w:i/>
          <w:iCs/>
          <w:sz w:val="24"/>
        </w:rPr>
        <w:t xml:space="preserve">85% of residents </w:t>
      </w:r>
      <w:r w:rsidR="00204CDC">
        <w:rPr>
          <w:rFonts w:eastAsia="Calibri" w:cs="Arial"/>
          <w:b/>
          <w:i/>
          <w:iCs/>
          <w:sz w:val="24"/>
        </w:rPr>
        <w:t xml:space="preserve">will </w:t>
      </w:r>
      <w:r w:rsidR="00915688" w:rsidRPr="009E2AAC">
        <w:rPr>
          <w:rFonts w:eastAsia="Calibri" w:cs="Arial"/>
          <w:b/>
          <w:i/>
          <w:iCs/>
          <w:sz w:val="24"/>
        </w:rPr>
        <w:t>agree that people from different backgrounds get on well together in Barnet</w:t>
      </w:r>
      <w:r w:rsidR="00204CDC">
        <w:rPr>
          <w:rFonts w:eastAsia="Calibri" w:cs="Arial"/>
          <w:b/>
          <w:i/>
          <w:iCs/>
          <w:sz w:val="24"/>
        </w:rPr>
        <w:t xml:space="preserve">.  This target is </w:t>
      </w:r>
      <w:r w:rsidR="008C1B7A">
        <w:rPr>
          <w:rFonts w:eastAsia="Calibri" w:cs="Arial"/>
          <w:b/>
          <w:i/>
          <w:iCs/>
          <w:sz w:val="24"/>
        </w:rPr>
        <w:t xml:space="preserve">seeking </w:t>
      </w:r>
      <w:r w:rsidR="008C1B7A" w:rsidRPr="009E2AAC">
        <w:rPr>
          <w:rFonts w:eastAsia="Calibri" w:cs="Arial"/>
          <w:b/>
          <w:i/>
          <w:iCs/>
          <w:sz w:val="24"/>
        </w:rPr>
        <w:t>+</w:t>
      </w:r>
      <w:r w:rsidR="00915688" w:rsidRPr="009E2AAC">
        <w:rPr>
          <w:rFonts w:eastAsia="Calibri" w:cs="Arial"/>
          <w:b/>
          <w:i/>
          <w:iCs/>
          <w:sz w:val="24"/>
        </w:rPr>
        <w:t xml:space="preserve">2% </w:t>
      </w:r>
      <w:r w:rsidR="008C1B7A">
        <w:rPr>
          <w:rFonts w:eastAsia="Calibri" w:cs="Arial"/>
          <w:b/>
          <w:i/>
          <w:iCs/>
          <w:sz w:val="24"/>
        </w:rPr>
        <w:t>improvements</w:t>
      </w:r>
      <w:r w:rsidR="00204CDC">
        <w:rPr>
          <w:rFonts w:eastAsia="Calibri" w:cs="Arial"/>
          <w:b/>
          <w:i/>
          <w:iCs/>
          <w:sz w:val="24"/>
        </w:rPr>
        <w:t xml:space="preserve"> </w:t>
      </w:r>
      <w:r w:rsidR="002F6232">
        <w:rPr>
          <w:rFonts w:eastAsia="Calibri" w:cs="Arial"/>
          <w:b/>
          <w:i/>
          <w:iCs/>
          <w:sz w:val="24"/>
        </w:rPr>
        <w:t>f</w:t>
      </w:r>
      <w:r w:rsidR="002F6232" w:rsidRPr="009E2AAC">
        <w:rPr>
          <w:rFonts w:eastAsia="Calibri" w:cs="Arial"/>
          <w:b/>
          <w:i/>
          <w:iCs/>
          <w:sz w:val="24"/>
        </w:rPr>
        <w:t>rom 2012/13 baseline</w:t>
      </w:r>
      <w:r w:rsidR="00204CDC">
        <w:rPr>
          <w:rFonts w:eastAsia="Calibri" w:cs="Arial"/>
          <w:b/>
          <w:i/>
          <w:iCs/>
          <w:sz w:val="24"/>
        </w:rPr>
        <w:t>.</w:t>
      </w:r>
    </w:p>
    <w:tbl>
      <w:tblPr>
        <w:tblpPr w:leftFromText="180" w:rightFromText="180" w:vertAnchor="text" w:horzAnchor="margin" w:tblpY="1070"/>
        <w:tblW w:w="10220" w:type="dxa"/>
        <w:tblCellMar>
          <w:left w:w="0" w:type="dxa"/>
          <w:right w:w="0" w:type="dxa"/>
        </w:tblCellMar>
        <w:tblLook w:val="04A0" w:firstRow="1" w:lastRow="0" w:firstColumn="1" w:lastColumn="0" w:noHBand="0" w:noVBand="1"/>
      </w:tblPr>
      <w:tblGrid>
        <w:gridCol w:w="2100"/>
        <w:gridCol w:w="1580"/>
        <w:gridCol w:w="1500"/>
        <w:gridCol w:w="1680"/>
        <w:gridCol w:w="1680"/>
        <w:gridCol w:w="1680"/>
      </w:tblGrid>
      <w:tr w:rsidR="002F6232" w:rsidTr="008167D2">
        <w:trPr>
          <w:trHeight w:val="600"/>
        </w:trPr>
        <w:tc>
          <w:tcPr>
            <w:tcW w:w="2100" w:type="dxa"/>
            <w:tcBorders>
              <w:top w:val="single" w:sz="8" w:space="0" w:color="4F81BD"/>
              <w:left w:val="single" w:sz="8" w:space="0" w:color="4F81BD"/>
              <w:bottom w:val="nil"/>
              <w:right w:val="nil"/>
            </w:tcBorders>
            <w:shd w:val="clear" w:color="auto" w:fill="4F81BD"/>
            <w:noWrap/>
            <w:tcMar>
              <w:top w:w="0" w:type="dxa"/>
              <w:left w:w="108" w:type="dxa"/>
              <w:bottom w:w="0" w:type="dxa"/>
              <w:right w:w="108" w:type="dxa"/>
            </w:tcMar>
          </w:tcPr>
          <w:p w:rsidR="002F6232" w:rsidRPr="00A10D19" w:rsidRDefault="002F6232" w:rsidP="008167D2">
            <w:pPr>
              <w:rPr>
                <w:rFonts w:ascii="Calibri" w:eastAsia="Calibri" w:hAnsi="Calibri"/>
                <w:b/>
                <w:bCs/>
                <w:color w:val="000000"/>
                <w:szCs w:val="22"/>
              </w:rPr>
            </w:pPr>
            <w:r>
              <w:rPr>
                <w:b/>
                <w:bCs/>
                <w:color w:val="000000"/>
              </w:rPr>
              <w:t> </w:t>
            </w:r>
          </w:p>
        </w:tc>
        <w:tc>
          <w:tcPr>
            <w:tcW w:w="1580" w:type="dxa"/>
            <w:tcBorders>
              <w:top w:val="single" w:sz="8" w:space="0" w:color="4F81BD"/>
              <w:left w:val="nil"/>
              <w:bottom w:val="nil"/>
              <w:right w:val="nil"/>
            </w:tcBorders>
            <w:shd w:val="clear" w:color="auto" w:fill="4F81BD"/>
            <w:noWrap/>
            <w:tcMar>
              <w:top w:w="0" w:type="dxa"/>
              <w:left w:w="108" w:type="dxa"/>
              <w:bottom w:w="0" w:type="dxa"/>
              <w:right w:w="108" w:type="dxa"/>
            </w:tcMar>
          </w:tcPr>
          <w:p w:rsidR="002F6232" w:rsidRDefault="002F6232" w:rsidP="008167D2">
            <w:pPr>
              <w:jc w:val="right"/>
              <w:rPr>
                <w:b/>
                <w:bCs/>
                <w:color w:val="FFFFFF"/>
              </w:rPr>
            </w:pPr>
            <w:r>
              <w:rPr>
                <w:b/>
                <w:bCs/>
                <w:color w:val="FFFFFF"/>
              </w:rPr>
              <w:t>2012</w:t>
            </w:r>
          </w:p>
          <w:p w:rsidR="002F6232" w:rsidRPr="00A10D19" w:rsidRDefault="002F6232" w:rsidP="008167D2">
            <w:pPr>
              <w:jc w:val="right"/>
              <w:rPr>
                <w:rFonts w:ascii="Calibri" w:eastAsia="Calibri" w:hAnsi="Calibri"/>
                <w:b/>
                <w:bCs/>
                <w:color w:val="FFFFFF"/>
                <w:szCs w:val="22"/>
              </w:rPr>
            </w:pPr>
            <w:r>
              <w:rPr>
                <w:b/>
                <w:bCs/>
                <w:color w:val="FFFFFF"/>
              </w:rPr>
              <w:t>Agree</w:t>
            </w:r>
          </w:p>
        </w:tc>
        <w:tc>
          <w:tcPr>
            <w:tcW w:w="1500" w:type="dxa"/>
            <w:tcBorders>
              <w:top w:val="single" w:sz="8" w:space="0" w:color="4F81BD"/>
              <w:left w:val="nil"/>
              <w:bottom w:val="nil"/>
              <w:right w:val="nil"/>
            </w:tcBorders>
            <w:shd w:val="clear" w:color="auto" w:fill="4F81BD"/>
            <w:tcMar>
              <w:top w:w="0" w:type="dxa"/>
              <w:left w:w="108" w:type="dxa"/>
              <w:bottom w:w="0" w:type="dxa"/>
              <w:right w:w="108" w:type="dxa"/>
            </w:tcMar>
          </w:tcPr>
          <w:p w:rsidR="002F6232" w:rsidRDefault="002F6232" w:rsidP="008167D2">
            <w:pPr>
              <w:jc w:val="right"/>
              <w:rPr>
                <w:b/>
                <w:bCs/>
                <w:color w:val="FFFFFF"/>
              </w:rPr>
            </w:pPr>
            <w:r>
              <w:rPr>
                <w:b/>
                <w:bCs/>
                <w:color w:val="FFFFFF"/>
              </w:rPr>
              <w:t>2013</w:t>
            </w:r>
          </w:p>
          <w:p w:rsidR="002F6232" w:rsidRPr="00A10D19" w:rsidRDefault="002F6232" w:rsidP="008167D2">
            <w:pPr>
              <w:jc w:val="right"/>
              <w:rPr>
                <w:rFonts w:ascii="Calibri" w:eastAsia="Calibri" w:hAnsi="Calibri"/>
                <w:b/>
                <w:bCs/>
                <w:color w:val="FFFFFF"/>
                <w:szCs w:val="22"/>
              </w:rPr>
            </w:pPr>
            <w:r>
              <w:rPr>
                <w:b/>
                <w:bCs/>
                <w:color w:val="FFFFFF"/>
              </w:rPr>
              <w:t>Agree</w:t>
            </w:r>
          </w:p>
        </w:tc>
        <w:tc>
          <w:tcPr>
            <w:tcW w:w="1680" w:type="dxa"/>
            <w:tcBorders>
              <w:top w:val="single" w:sz="8" w:space="0" w:color="4F81BD"/>
              <w:left w:val="nil"/>
              <w:bottom w:val="nil"/>
              <w:right w:val="nil"/>
            </w:tcBorders>
            <w:shd w:val="clear" w:color="auto" w:fill="4F81BD"/>
            <w:tcMar>
              <w:top w:w="0" w:type="dxa"/>
              <w:left w:w="108" w:type="dxa"/>
              <w:bottom w:w="0" w:type="dxa"/>
              <w:right w:w="108" w:type="dxa"/>
            </w:tcMar>
          </w:tcPr>
          <w:p w:rsidR="002F6232" w:rsidRDefault="002F6232" w:rsidP="008167D2">
            <w:pPr>
              <w:jc w:val="right"/>
              <w:rPr>
                <w:b/>
                <w:bCs/>
                <w:color w:val="FFFFFF"/>
              </w:rPr>
            </w:pPr>
            <w:r>
              <w:rPr>
                <w:b/>
                <w:bCs/>
                <w:color w:val="FFFFFF"/>
              </w:rPr>
              <w:t>2014 (Spring)</w:t>
            </w:r>
          </w:p>
          <w:p w:rsidR="002F6232" w:rsidRPr="00A10D19" w:rsidRDefault="002F6232" w:rsidP="008167D2">
            <w:pPr>
              <w:jc w:val="right"/>
              <w:rPr>
                <w:rFonts w:ascii="Calibri" w:eastAsia="Calibri" w:hAnsi="Calibri"/>
                <w:b/>
                <w:bCs/>
                <w:color w:val="FFFFFF"/>
                <w:szCs w:val="22"/>
              </w:rPr>
            </w:pPr>
            <w:r>
              <w:rPr>
                <w:b/>
                <w:bCs/>
                <w:color w:val="FFFFFF"/>
              </w:rPr>
              <w:t>Agree</w:t>
            </w:r>
          </w:p>
        </w:tc>
        <w:tc>
          <w:tcPr>
            <w:tcW w:w="1680" w:type="dxa"/>
            <w:tcBorders>
              <w:top w:val="single" w:sz="8" w:space="0" w:color="4F81BD"/>
              <w:left w:val="nil"/>
              <w:bottom w:val="nil"/>
              <w:right w:val="nil"/>
            </w:tcBorders>
            <w:shd w:val="clear" w:color="auto" w:fill="4F81BD"/>
          </w:tcPr>
          <w:p w:rsidR="002F6232" w:rsidRDefault="002F6232" w:rsidP="008167D2">
            <w:pPr>
              <w:jc w:val="right"/>
              <w:rPr>
                <w:b/>
                <w:bCs/>
                <w:color w:val="FFFFFF"/>
              </w:rPr>
            </w:pPr>
            <w:r>
              <w:rPr>
                <w:b/>
                <w:bCs/>
                <w:color w:val="FFFFFF"/>
              </w:rPr>
              <w:t>2014</w:t>
            </w:r>
          </w:p>
          <w:p w:rsidR="002F6232" w:rsidRPr="00A10D19" w:rsidRDefault="002F6232" w:rsidP="002F6232">
            <w:pPr>
              <w:jc w:val="right"/>
              <w:rPr>
                <w:rFonts w:ascii="Calibri" w:eastAsia="Calibri" w:hAnsi="Calibri"/>
                <w:b/>
                <w:bCs/>
                <w:color w:val="FFFFFF"/>
                <w:szCs w:val="22"/>
              </w:rPr>
            </w:pPr>
            <w:r>
              <w:rPr>
                <w:b/>
                <w:bCs/>
                <w:color w:val="FFFFFF"/>
              </w:rPr>
              <w:t>responses</w:t>
            </w:r>
          </w:p>
        </w:tc>
        <w:tc>
          <w:tcPr>
            <w:tcW w:w="1680"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tcPr>
          <w:p w:rsidR="002F6232" w:rsidRPr="00A10D19" w:rsidRDefault="002F6232" w:rsidP="008167D2">
            <w:pPr>
              <w:jc w:val="right"/>
              <w:rPr>
                <w:rFonts w:ascii="Calibri" w:eastAsia="Calibri" w:hAnsi="Calibri"/>
                <w:b/>
                <w:bCs/>
                <w:color w:val="FFFFFF"/>
                <w:szCs w:val="22"/>
              </w:rPr>
            </w:pPr>
            <w:r>
              <w:rPr>
                <w:b/>
                <w:bCs/>
                <w:color w:val="FFFFFF"/>
              </w:rPr>
              <w:t xml:space="preserve">Variation from overall figures </w:t>
            </w:r>
          </w:p>
        </w:tc>
      </w:tr>
      <w:tr w:rsidR="002F6232" w:rsidTr="008167D2">
        <w:trPr>
          <w:trHeight w:val="300"/>
        </w:trPr>
        <w:tc>
          <w:tcPr>
            <w:tcW w:w="2100" w:type="dxa"/>
            <w:tcBorders>
              <w:top w:val="single" w:sz="8" w:space="0" w:color="4F81BD"/>
              <w:left w:val="single" w:sz="8" w:space="0" w:color="4F81BD"/>
              <w:bottom w:val="single" w:sz="8" w:space="0" w:color="4F81BD"/>
              <w:right w:val="nil"/>
            </w:tcBorders>
            <w:noWrap/>
            <w:tcMar>
              <w:top w:w="0" w:type="dxa"/>
              <w:left w:w="108" w:type="dxa"/>
              <w:bottom w:w="0" w:type="dxa"/>
              <w:right w:w="108" w:type="dxa"/>
            </w:tcMar>
          </w:tcPr>
          <w:p w:rsidR="002F6232" w:rsidRPr="00A10D19" w:rsidRDefault="002F6232" w:rsidP="008167D2">
            <w:pPr>
              <w:rPr>
                <w:rFonts w:ascii="Calibri" w:eastAsia="Calibri" w:hAnsi="Calibri"/>
                <w:b/>
                <w:bCs/>
                <w:color w:val="000000"/>
                <w:szCs w:val="22"/>
              </w:rPr>
            </w:pPr>
            <w:r>
              <w:rPr>
                <w:b/>
                <w:bCs/>
                <w:color w:val="000000"/>
              </w:rPr>
              <w:t> </w:t>
            </w:r>
          </w:p>
        </w:tc>
        <w:tc>
          <w:tcPr>
            <w:tcW w:w="1580" w:type="dxa"/>
            <w:tcBorders>
              <w:top w:val="single" w:sz="8" w:space="0" w:color="4F81BD"/>
              <w:left w:val="nil"/>
              <w:bottom w:val="single" w:sz="8" w:space="0" w:color="4F81BD"/>
              <w:right w:val="nil"/>
            </w:tcBorders>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w:t>
            </w:r>
          </w:p>
        </w:tc>
        <w:tc>
          <w:tcPr>
            <w:tcW w:w="1500" w:type="dxa"/>
            <w:tcBorders>
              <w:top w:val="single" w:sz="8" w:space="0" w:color="4F81BD"/>
              <w:left w:val="nil"/>
              <w:bottom w:val="single" w:sz="8" w:space="0" w:color="4F81BD"/>
              <w:right w:val="nil"/>
            </w:tcBorders>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w:t>
            </w:r>
          </w:p>
        </w:tc>
        <w:tc>
          <w:tcPr>
            <w:tcW w:w="1680" w:type="dxa"/>
            <w:tcBorders>
              <w:top w:val="single" w:sz="8" w:space="0" w:color="4F81BD"/>
              <w:left w:val="nil"/>
              <w:bottom w:val="single" w:sz="8" w:space="0" w:color="4F81BD"/>
              <w:right w:val="nil"/>
            </w:tcBorders>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w:t>
            </w:r>
          </w:p>
        </w:tc>
        <w:tc>
          <w:tcPr>
            <w:tcW w:w="1680" w:type="dxa"/>
            <w:tcBorders>
              <w:top w:val="single" w:sz="8" w:space="0" w:color="4F81BD"/>
              <w:left w:val="nil"/>
              <w:bottom w:val="single" w:sz="8" w:space="0" w:color="4F81BD"/>
              <w:right w:val="nil"/>
            </w:tcBorders>
          </w:tcPr>
          <w:p w:rsidR="002F6232" w:rsidRPr="00A10D19" w:rsidRDefault="002F6232" w:rsidP="008167D2">
            <w:pPr>
              <w:jc w:val="right"/>
              <w:rPr>
                <w:rFonts w:ascii="Calibri" w:eastAsia="Calibri" w:hAnsi="Calibri"/>
                <w:color w:val="000000"/>
                <w:szCs w:val="22"/>
              </w:rPr>
            </w:pPr>
            <w:r>
              <w:rPr>
                <w:color w:val="000000"/>
              </w:rPr>
              <w:t>Number</w:t>
            </w:r>
          </w:p>
        </w:tc>
        <w:tc>
          <w:tcPr>
            <w:tcW w:w="1680"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w:t>
            </w:r>
          </w:p>
        </w:tc>
      </w:tr>
      <w:tr w:rsidR="002F6232" w:rsidTr="008167D2">
        <w:trPr>
          <w:trHeight w:val="300"/>
        </w:trPr>
        <w:tc>
          <w:tcPr>
            <w:tcW w:w="2100" w:type="dxa"/>
            <w:tcBorders>
              <w:top w:val="nil"/>
              <w:left w:val="single" w:sz="8" w:space="0" w:color="4F81BD"/>
              <w:bottom w:val="nil"/>
              <w:right w:val="nil"/>
            </w:tcBorders>
            <w:noWrap/>
            <w:tcMar>
              <w:top w:w="0" w:type="dxa"/>
              <w:left w:w="108" w:type="dxa"/>
              <w:bottom w:w="0" w:type="dxa"/>
              <w:right w:w="108" w:type="dxa"/>
            </w:tcMar>
          </w:tcPr>
          <w:p w:rsidR="002F6232" w:rsidRPr="00A10D19" w:rsidRDefault="002F6232" w:rsidP="008167D2">
            <w:pPr>
              <w:rPr>
                <w:rFonts w:ascii="Calibri" w:eastAsia="Calibri" w:hAnsi="Calibri"/>
                <w:b/>
                <w:bCs/>
                <w:color w:val="000000"/>
                <w:szCs w:val="22"/>
              </w:rPr>
            </w:pPr>
            <w:r>
              <w:rPr>
                <w:b/>
                <w:bCs/>
                <w:color w:val="000000"/>
              </w:rPr>
              <w:t>Overall</w:t>
            </w:r>
          </w:p>
        </w:tc>
        <w:tc>
          <w:tcPr>
            <w:tcW w:w="1580" w:type="dxa"/>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83</w:t>
            </w:r>
          </w:p>
        </w:tc>
        <w:tc>
          <w:tcPr>
            <w:tcW w:w="1500" w:type="dxa"/>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84</w:t>
            </w:r>
          </w:p>
        </w:tc>
        <w:tc>
          <w:tcPr>
            <w:tcW w:w="1680" w:type="dxa"/>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84</w:t>
            </w:r>
          </w:p>
        </w:tc>
        <w:tc>
          <w:tcPr>
            <w:tcW w:w="1680" w:type="dxa"/>
            <w:tcBorders>
              <w:right w:val="nil"/>
            </w:tcBorders>
          </w:tcPr>
          <w:p w:rsidR="002F6232" w:rsidRPr="00A10D19" w:rsidRDefault="002F6232" w:rsidP="008167D2">
            <w:pPr>
              <w:jc w:val="right"/>
              <w:rPr>
                <w:rFonts w:ascii="Calibri" w:eastAsia="Calibri" w:hAnsi="Calibri"/>
                <w:color w:val="000000"/>
                <w:szCs w:val="22"/>
              </w:rPr>
            </w:pPr>
            <w:r>
              <w:rPr>
                <w:color w:val="000000"/>
              </w:rPr>
              <w:t>2000</w:t>
            </w:r>
          </w:p>
        </w:tc>
        <w:tc>
          <w:tcPr>
            <w:tcW w:w="1680" w:type="dxa"/>
            <w:tcBorders>
              <w:top w:val="nil"/>
              <w:left w:val="nil"/>
              <w:bottom w:val="nil"/>
              <w:right w:val="single" w:sz="8" w:space="0" w:color="4F81BD"/>
            </w:tcBorders>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r>
              <w:rPr>
                <w:color w:val="000000"/>
              </w:rPr>
              <w:t> </w:t>
            </w:r>
          </w:p>
        </w:tc>
      </w:tr>
      <w:tr w:rsidR="002F6232" w:rsidTr="008167D2">
        <w:trPr>
          <w:trHeight w:val="300"/>
        </w:trPr>
        <w:tc>
          <w:tcPr>
            <w:tcW w:w="2100" w:type="dxa"/>
            <w:tcBorders>
              <w:top w:val="single" w:sz="8" w:space="0" w:color="4F81BD"/>
              <w:left w:val="single" w:sz="8" w:space="0" w:color="4F81BD"/>
              <w:bottom w:val="single" w:sz="8" w:space="0" w:color="4F81BD"/>
              <w:right w:val="nil"/>
            </w:tcBorders>
            <w:noWrap/>
            <w:tcMar>
              <w:top w:w="0" w:type="dxa"/>
              <w:left w:w="108" w:type="dxa"/>
              <w:bottom w:w="0" w:type="dxa"/>
              <w:right w:w="108" w:type="dxa"/>
            </w:tcMar>
          </w:tcPr>
          <w:p w:rsidR="002F6232" w:rsidRPr="00182A8E" w:rsidRDefault="002F6232" w:rsidP="008167D2">
            <w:pPr>
              <w:rPr>
                <w:rFonts w:ascii="Calibri" w:eastAsia="Calibri" w:hAnsi="Calibri"/>
                <w:b/>
                <w:bCs/>
                <w:color w:val="000000"/>
                <w:szCs w:val="22"/>
                <w:highlight w:val="yellow"/>
              </w:rPr>
            </w:pPr>
          </w:p>
        </w:tc>
        <w:tc>
          <w:tcPr>
            <w:tcW w:w="1580" w:type="dxa"/>
            <w:tcBorders>
              <w:top w:val="single" w:sz="8" w:space="0" w:color="4F81BD"/>
              <w:left w:val="nil"/>
              <w:bottom w:val="single" w:sz="8" w:space="0" w:color="4F81BD"/>
              <w:right w:val="nil"/>
            </w:tcBorders>
            <w:noWrap/>
            <w:tcMar>
              <w:top w:w="0" w:type="dxa"/>
              <w:left w:w="108" w:type="dxa"/>
              <w:bottom w:w="0" w:type="dxa"/>
              <w:right w:w="108" w:type="dxa"/>
            </w:tcMar>
          </w:tcPr>
          <w:p w:rsidR="002F6232" w:rsidRPr="00182A8E" w:rsidRDefault="002F6232" w:rsidP="008167D2">
            <w:pPr>
              <w:jc w:val="right"/>
              <w:rPr>
                <w:rFonts w:ascii="Calibri" w:eastAsia="Calibri" w:hAnsi="Calibri"/>
                <w:color w:val="000000"/>
                <w:szCs w:val="22"/>
                <w:highlight w:val="yellow"/>
              </w:rPr>
            </w:pPr>
          </w:p>
        </w:tc>
        <w:tc>
          <w:tcPr>
            <w:tcW w:w="1500" w:type="dxa"/>
            <w:tcBorders>
              <w:top w:val="single" w:sz="8" w:space="0" w:color="4F81BD"/>
              <w:left w:val="nil"/>
              <w:bottom w:val="single" w:sz="8" w:space="0" w:color="4F81BD"/>
              <w:right w:val="nil"/>
            </w:tcBorders>
            <w:noWrap/>
            <w:tcMar>
              <w:top w:w="0" w:type="dxa"/>
              <w:left w:w="108" w:type="dxa"/>
              <w:bottom w:w="0" w:type="dxa"/>
              <w:right w:w="108" w:type="dxa"/>
            </w:tcMar>
          </w:tcPr>
          <w:p w:rsidR="002F6232" w:rsidRPr="00182A8E" w:rsidRDefault="002F6232" w:rsidP="008167D2">
            <w:pPr>
              <w:jc w:val="right"/>
              <w:rPr>
                <w:rFonts w:ascii="Calibri" w:eastAsia="Calibri" w:hAnsi="Calibri"/>
                <w:color w:val="000000"/>
                <w:szCs w:val="22"/>
                <w:highlight w:val="yellow"/>
              </w:rPr>
            </w:pPr>
          </w:p>
        </w:tc>
        <w:tc>
          <w:tcPr>
            <w:tcW w:w="1680" w:type="dxa"/>
            <w:tcBorders>
              <w:top w:val="single" w:sz="8" w:space="0" w:color="4F81BD"/>
              <w:left w:val="nil"/>
              <w:bottom w:val="single" w:sz="8" w:space="0" w:color="4F81BD"/>
              <w:right w:val="nil"/>
            </w:tcBorders>
            <w:tcMar>
              <w:top w:w="0" w:type="dxa"/>
              <w:left w:w="108" w:type="dxa"/>
              <w:bottom w:w="0" w:type="dxa"/>
              <w:right w:w="108" w:type="dxa"/>
            </w:tcMar>
          </w:tcPr>
          <w:p w:rsidR="002F6232" w:rsidRPr="00182A8E" w:rsidRDefault="002F6232" w:rsidP="008167D2">
            <w:pPr>
              <w:jc w:val="right"/>
              <w:rPr>
                <w:rFonts w:ascii="Calibri" w:eastAsia="Calibri" w:hAnsi="Calibri"/>
                <w:szCs w:val="22"/>
                <w:highlight w:val="yellow"/>
              </w:rPr>
            </w:pPr>
          </w:p>
        </w:tc>
        <w:tc>
          <w:tcPr>
            <w:tcW w:w="1680" w:type="dxa"/>
            <w:tcBorders>
              <w:top w:val="single" w:sz="8" w:space="0" w:color="4F81BD"/>
              <w:left w:val="nil"/>
              <w:bottom w:val="single" w:sz="8" w:space="0" w:color="4F81BD"/>
              <w:right w:val="nil"/>
            </w:tcBorders>
          </w:tcPr>
          <w:p w:rsidR="002F6232" w:rsidRPr="00182A8E" w:rsidRDefault="002F6232" w:rsidP="008167D2">
            <w:pPr>
              <w:jc w:val="right"/>
              <w:rPr>
                <w:rFonts w:ascii="Calibri" w:eastAsia="Calibri" w:hAnsi="Calibri"/>
                <w:szCs w:val="22"/>
                <w:highlight w:val="yellow"/>
              </w:rPr>
            </w:pPr>
          </w:p>
        </w:tc>
        <w:tc>
          <w:tcPr>
            <w:tcW w:w="1680"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tcPr>
          <w:p w:rsidR="002F6232" w:rsidRPr="00182A8E" w:rsidRDefault="002F6232" w:rsidP="008167D2">
            <w:pPr>
              <w:jc w:val="right"/>
              <w:rPr>
                <w:rFonts w:ascii="Calibri" w:eastAsia="Calibri" w:hAnsi="Calibri"/>
                <w:color w:val="00B050"/>
                <w:szCs w:val="22"/>
                <w:highlight w:val="yellow"/>
              </w:rPr>
            </w:pPr>
          </w:p>
        </w:tc>
      </w:tr>
      <w:tr w:rsidR="002F6232" w:rsidTr="008167D2">
        <w:trPr>
          <w:trHeight w:val="300"/>
        </w:trPr>
        <w:tc>
          <w:tcPr>
            <w:tcW w:w="2100" w:type="dxa"/>
            <w:tcBorders>
              <w:top w:val="nil"/>
              <w:left w:val="single" w:sz="8" w:space="0" w:color="4F81BD"/>
              <w:bottom w:val="nil"/>
              <w:right w:val="nil"/>
            </w:tcBorders>
            <w:noWrap/>
            <w:tcMar>
              <w:top w:w="0" w:type="dxa"/>
              <w:left w:w="108" w:type="dxa"/>
              <w:bottom w:w="0" w:type="dxa"/>
              <w:right w:w="108" w:type="dxa"/>
            </w:tcMar>
          </w:tcPr>
          <w:p w:rsidR="002F6232" w:rsidRPr="00182A8E" w:rsidRDefault="002F6232" w:rsidP="008167D2">
            <w:pPr>
              <w:rPr>
                <w:rFonts w:ascii="Calibri" w:eastAsia="Calibri" w:hAnsi="Calibri"/>
                <w:b/>
                <w:bCs/>
                <w:color w:val="000000"/>
                <w:szCs w:val="22"/>
                <w:highlight w:val="yellow"/>
              </w:rPr>
            </w:pPr>
          </w:p>
        </w:tc>
        <w:tc>
          <w:tcPr>
            <w:tcW w:w="1580" w:type="dxa"/>
            <w:noWrap/>
            <w:tcMar>
              <w:top w:w="0" w:type="dxa"/>
              <w:left w:w="108" w:type="dxa"/>
              <w:bottom w:w="0" w:type="dxa"/>
              <w:right w:w="108" w:type="dxa"/>
            </w:tcMar>
          </w:tcPr>
          <w:p w:rsidR="002F6232" w:rsidRPr="00182A8E" w:rsidRDefault="002F6232" w:rsidP="008167D2">
            <w:pPr>
              <w:jc w:val="right"/>
              <w:rPr>
                <w:rFonts w:ascii="Calibri" w:eastAsia="Calibri" w:hAnsi="Calibri"/>
                <w:color w:val="000000"/>
                <w:szCs w:val="22"/>
                <w:highlight w:val="yellow"/>
              </w:rPr>
            </w:pPr>
          </w:p>
        </w:tc>
        <w:tc>
          <w:tcPr>
            <w:tcW w:w="1500" w:type="dxa"/>
            <w:noWrap/>
            <w:tcMar>
              <w:top w:w="0" w:type="dxa"/>
              <w:left w:w="108" w:type="dxa"/>
              <w:bottom w:w="0" w:type="dxa"/>
              <w:right w:w="108" w:type="dxa"/>
            </w:tcMar>
          </w:tcPr>
          <w:p w:rsidR="002F6232" w:rsidRPr="00182A8E" w:rsidRDefault="002F6232" w:rsidP="008167D2">
            <w:pPr>
              <w:jc w:val="right"/>
              <w:rPr>
                <w:rFonts w:ascii="Calibri" w:eastAsia="Calibri" w:hAnsi="Calibri"/>
                <w:color w:val="000000"/>
                <w:szCs w:val="22"/>
                <w:highlight w:val="yellow"/>
              </w:rPr>
            </w:pPr>
          </w:p>
        </w:tc>
        <w:tc>
          <w:tcPr>
            <w:tcW w:w="1680" w:type="dxa"/>
            <w:tcMar>
              <w:top w:w="0" w:type="dxa"/>
              <w:left w:w="108" w:type="dxa"/>
              <w:bottom w:w="0" w:type="dxa"/>
              <w:right w:w="108" w:type="dxa"/>
            </w:tcMar>
          </w:tcPr>
          <w:p w:rsidR="002F6232" w:rsidRPr="00182A8E" w:rsidRDefault="002F6232" w:rsidP="008167D2">
            <w:pPr>
              <w:jc w:val="right"/>
              <w:rPr>
                <w:rFonts w:ascii="Calibri" w:eastAsia="Calibri" w:hAnsi="Calibri"/>
                <w:szCs w:val="22"/>
                <w:highlight w:val="yellow"/>
              </w:rPr>
            </w:pPr>
          </w:p>
        </w:tc>
        <w:tc>
          <w:tcPr>
            <w:tcW w:w="1680" w:type="dxa"/>
            <w:tcBorders>
              <w:right w:val="nil"/>
            </w:tcBorders>
          </w:tcPr>
          <w:p w:rsidR="002F6232" w:rsidRPr="00182A8E" w:rsidRDefault="002F6232" w:rsidP="008167D2">
            <w:pPr>
              <w:jc w:val="right"/>
              <w:rPr>
                <w:rFonts w:ascii="Calibri" w:eastAsia="Calibri" w:hAnsi="Calibri"/>
                <w:szCs w:val="22"/>
                <w:highlight w:val="yellow"/>
              </w:rPr>
            </w:pPr>
          </w:p>
        </w:tc>
        <w:tc>
          <w:tcPr>
            <w:tcW w:w="1680" w:type="dxa"/>
            <w:tcBorders>
              <w:top w:val="nil"/>
              <w:left w:val="nil"/>
              <w:bottom w:val="nil"/>
              <w:right w:val="single" w:sz="8" w:space="0" w:color="4F81BD"/>
            </w:tcBorders>
            <w:noWrap/>
            <w:tcMar>
              <w:top w:w="0" w:type="dxa"/>
              <w:left w:w="108" w:type="dxa"/>
              <w:bottom w:w="0" w:type="dxa"/>
              <w:right w:w="108" w:type="dxa"/>
            </w:tcMar>
          </w:tcPr>
          <w:p w:rsidR="002F6232" w:rsidRPr="00182A8E" w:rsidRDefault="002F6232" w:rsidP="008167D2">
            <w:pPr>
              <w:jc w:val="right"/>
              <w:rPr>
                <w:rFonts w:ascii="Calibri" w:eastAsia="Calibri" w:hAnsi="Calibri"/>
                <w:color w:val="FF0000"/>
                <w:szCs w:val="22"/>
                <w:highlight w:val="yellow"/>
              </w:rPr>
            </w:pPr>
          </w:p>
        </w:tc>
      </w:tr>
      <w:tr w:rsidR="002F6232" w:rsidTr="008167D2">
        <w:trPr>
          <w:trHeight w:val="600"/>
        </w:trPr>
        <w:tc>
          <w:tcPr>
            <w:tcW w:w="2100" w:type="dxa"/>
            <w:tcBorders>
              <w:top w:val="single" w:sz="8" w:space="0" w:color="4F81BD"/>
              <w:left w:val="single" w:sz="8" w:space="0" w:color="4F81BD"/>
              <w:bottom w:val="single" w:sz="8" w:space="0" w:color="4F81BD"/>
              <w:right w:val="nil"/>
            </w:tcBorders>
            <w:tcMar>
              <w:top w:w="0" w:type="dxa"/>
              <w:left w:w="108" w:type="dxa"/>
              <w:bottom w:w="0" w:type="dxa"/>
              <w:right w:w="108" w:type="dxa"/>
            </w:tcMar>
          </w:tcPr>
          <w:p w:rsidR="002F6232" w:rsidRPr="00A10D19" w:rsidRDefault="002F6232" w:rsidP="008167D2">
            <w:pPr>
              <w:rPr>
                <w:rFonts w:ascii="Calibri" w:eastAsia="Calibri" w:hAnsi="Calibri"/>
                <w:b/>
                <w:bCs/>
                <w:color w:val="000000"/>
                <w:szCs w:val="22"/>
              </w:rPr>
            </w:pPr>
          </w:p>
        </w:tc>
        <w:tc>
          <w:tcPr>
            <w:tcW w:w="1580" w:type="dxa"/>
            <w:tcBorders>
              <w:top w:val="single" w:sz="8" w:space="0" w:color="4F81BD"/>
              <w:left w:val="nil"/>
              <w:bottom w:val="single" w:sz="8" w:space="0" w:color="4F81BD"/>
              <w:right w:val="nil"/>
            </w:tcBorders>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p>
        </w:tc>
        <w:tc>
          <w:tcPr>
            <w:tcW w:w="1500" w:type="dxa"/>
            <w:tcBorders>
              <w:top w:val="single" w:sz="8" w:space="0" w:color="4F81BD"/>
              <w:left w:val="nil"/>
              <w:bottom w:val="single" w:sz="8" w:space="0" w:color="4F81BD"/>
              <w:right w:val="nil"/>
            </w:tcBorders>
            <w:noWrap/>
            <w:tcMar>
              <w:top w:w="0" w:type="dxa"/>
              <w:left w:w="108" w:type="dxa"/>
              <w:bottom w:w="0" w:type="dxa"/>
              <w:right w:w="108" w:type="dxa"/>
            </w:tcMar>
          </w:tcPr>
          <w:p w:rsidR="002F6232" w:rsidRPr="00A10D19" w:rsidRDefault="002F6232" w:rsidP="008167D2">
            <w:pPr>
              <w:jc w:val="right"/>
              <w:rPr>
                <w:rFonts w:ascii="Calibri" w:eastAsia="Calibri" w:hAnsi="Calibri"/>
                <w:color w:val="000000"/>
                <w:szCs w:val="22"/>
              </w:rPr>
            </w:pPr>
          </w:p>
        </w:tc>
        <w:tc>
          <w:tcPr>
            <w:tcW w:w="1680" w:type="dxa"/>
            <w:tcBorders>
              <w:top w:val="single" w:sz="8" w:space="0" w:color="4F81BD"/>
              <w:left w:val="nil"/>
              <w:bottom w:val="single" w:sz="8" w:space="0" w:color="4F81BD"/>
              <w:right w:val="nil"/>
            </w:tcBorders>
            <w:tcMar>
              <w:top w:w="0" w:type="dxa"/>
              <w:left w:w="108" w:type="dxa"/>
              <w:bottom w:w="0" w:type="dxa"/>
              <w:right w:w="108" w:type="dxa"/>
            </w:tcMar>
          </w:tcPr>
          <w:p w:rsidR="002F6232" w:rsidRPr="00A10D19" w:rsidRDefault="002F6232" w:rsidP="008167D2">
            <w:pPr>
              <w:jc w:val="right"/>
              <w:rPr>
                <w:rFonts w:ascii="Calibri" w:eastAsia="Calibri" w:hAnsi="Calibri"/>
                <w:szCs w:val="22"/>
              </w:rPr>
            </w:pPr>
          </w:p>
        </w:tc>
        <w:tc>
          <w:tcPr>
            <w:tcW w:w="1680" w:type="dxa"/>
            <w:tcBorders>
              <w:top w:val="single" w:sz="8" w:space="0" w:color="4F81BD"/>
              <w:left w:val="nil"/>
              <w:bottom w:val="single" w:sz="8" w:space="0" w:color="4F81BD"/>
              <w:right w:val="nil"/>
            </w:tcBorders>
          </w:tcPr>
          <w:p w:rsidR="002F6232" w:rsidRPr="00A10D19" w:rsidRDefault="002F6232" w:rsidP="002F6232">
            <w:pPr>
              <w:jc w:val="right"/>
              <w:rPr>
                <w:rFonts w:ascii="Calibri" w:eastAsia="Calibri" w:hAnsi="Calibri"/>
                <w:szCs w:val="22"/>
              </w:rPr>
            </w:pPr>
          </w:p>
        </w:tc>
        <w:tc>
          <w:tcPr>
            <w:tcW w:w="1680"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tcPr>
          <w:p w:rsidR="002F6232" w:rsidRPr="00A10D19" w:rsidRDefault="002F6232" w:rsidP="00DA0F0B">
            <w:pPr>
              <w:jc w:val="right"/>
              <w:rPr>
                <w:rFonts w:ascii="Calibri" w:eastAsia="Calibri" w:hAnsi="Calibri"/>
                <w:color w:val="FF0000"/>
                <w:szCs w:val="22"/>
              </w:rPr>
            </w:pPr>
          </w:p>
        </w:tc>
      </w:tr>
    </w:tbl>
    <w:p w:rsidR="002F6232" w:rsidRDefault="00BF0D53" w:rsidP="00915688">
      <w:pPr>
        <w:spacing w:after="200" w:line="276" w:lineRule="auto"/>
        <w:rPr>
          <w:rFonts w:eastAsia="Calibri" w:cs="Arial"/>
          <w:b/>
          <w:i/>
          <w:iCs/>
          <w:sz w:val="24"/>
        </w:rPr>
      </w:pPr>
      <w:r>
        <w:rPr>
          <w:rFonts w:eastAsia="Calibri" w:cs="Arial"/>
          <w:b/>
          <w:i/>
          <w:iCs/>
          <w:sz w:val="24"/>
        </w:rPr>
        <w:t>Other significant data is outlined below:</w:t>
      </w:r>
    </w:p>
    <w:p w:rsidR="002F6232" w:rsidRDefault="002F6232" w:rsidP="00915688">
      <w:pPr>
        <w:spacing w:after="200" w:line="276" w:lineRule="auto"/>
        <w:rPr>
          <w:rFonts w:eastAsia="Calibri" w:cs="Arial"/>
          <w:b/>
          <w:i/>
          <w:iCs/>
          <w:sz w:val="24"/>
        </w:rPr>
      </w:pPr>
    </w:p>
    <w:p w:rsidR="00915688" w:rsidRPr="009E2AAC" w:rsidRDefault="00164873" w:rsidP="002F6232">
      <w:pPr>
        <w:spacing w:after="200" w:line="276" w:lineRule="auto"/>
        <w:rPr>
          <w:rFonts w:eastAsia="Calibri" w:cs="Arial"/>
          <w:color w:val="FF0000"/>
          <w:sz w:val="24"/>
        </w:rPr>
      </w:pPr>
      <w:r>
        <w:rPr>
          <w:noProof/>
        </w:rPr>
        <w:drawing>
          <wp:inline distT="0" distB="0" distL="0" distR="0" wp14:anchorId="13A93B05" wp14:editId="5E49F52D">
            <wp:extent cx="5731510" cy="2243455"/>
            <wp:effectExtent l="0" t="0" r="2540" b="4445"/>
            <wp:docPr id="1" name="Picture 1" descr="N:\Project Files\Gov Local\Barnet\4847 - Residents' Perception Survey Wave 2, 2013-14 QTR 4 (2013 - 2013)\Research\Outputs\Graphs\Version 2\B6, D1, D4, F1, F2, G2a and G2b (inc DK)\F1_1GRP_Dem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Project Files\Gov Local\Barnet\4847 - Residents' Perception Survey Wave 2, 2013-14 QTR 4 (2013 - 2013)\Research\Outputs\Graphs\Version 2\B6, D1, D4, F1, F2, G2a and G2b (inc DK)\F1_1GRP_Demograph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243455"/>
                    </a:xfrm>
                    <a:prstGeom prst="rect">
                      <a:avLst/>
                    </a:prstGeom>
                    <a:noFill/>
                    <a:ln>
                      <a:noFill/>
                    </a:ln>
                  </pic:spPr>
                </pic:pic>
              </a:graphicData>
            </a:graphic>
          </wp:inline>
        </w:drawing>
      </w:r>
    </w:p>
    <w:p w:rsidR="00915688" w:rsidRDefault="00915688" w:rsidP="00915688">
      <w:pPr>
        <w:pStyle w:val="ListParagraph"/>
        <w:spacing w:after="200" w:line="276" w:lineRule="auto"/>
        <w:rPr>
          <w:rFonts w:eastAsia="Calibri"/>
        </w:rPr>
      </w:pPr>
    </w:p>
    <w:p w:rsidR="000644EF" w:rsidRDefault="00CD76F5" w:rsidP="00915688">
      <w:pPr>
        <w:pStyle w:val="ListParagraph"/>
        <w:numPr>
          <w:ilvl w:val="0"/>
          <w:numId w:val="3"/>
        </w:numPr>
        <w:rPr>
          <w:rFonts w:eastAsia="Calibri"/>
        </w:rPr>
      </w:pPr>
      <w:r>
        <w:rPr>
          <w:rFonts w:eastAsia="Calibri"/>
        </w:rPr>
        <w:t>Community c</w:t>
      </w:r>
      <w:r w:rsidR="00E32ECB">
        <w:rPr>
          <w:rFonts w:eastAsia="Calibri"/>
        </w:rPr>
        <w:t xml:space="preserve">ohesion remains high in Barnet with 84% of residents agreeing that people from different backgrounds get on well together in </w:t>
      </w:r>
      <w:r>
        <w:rPr>
          <w:rFonts w:eastAsia="Calibri"/>
        </w:rPr>
        <w:t xml:space="preserve">the </w:t>
      </w:r>
      <w:r w:rsidR="008C1B7A">
        <w:rPr>
          <w:rFonts w:eastAsia="Calibri"/>
        </w:rPr>
        <w:t>borough and 78</w:t>
      </w:r>
      <w:r w:rsidR="00E32ECB">
        <w:rPr>
          <w:rFonts w:eastAsia="Calibri"/>
        </w:rPr>
        <w:t xml:space="preserve">% of residents feel there is not a problem/not a very big </w:t>
      </w:r>
      <w:r w:rsidR="008C1B7A">
        <w:rPr>
          <w:rFonts w:eastAsia="Calibri"/>
        </w:rPr>
        <w:t>problem with</w:t>
      </w:r>
      <w:r w:rsidR="00E32ECB">
        <w:rPr>
          <w:rFonts w:eastAsia="Calibri"/>
        </w:rPr>
        <w:t xml:space="preserve"> people not treating each other with respect and consideration</w:t>
      </w:r>
      <w:r w:rsidR="000644EF">
        <w:rPr>
          <w:rFonts w:eastAsia="Calibri"/>
        </w:rPr>
        <w:t>.</w:t>
      </w:r>
    </w:p>
    <w:p w:rsidR="00BF0D53" w:rsidRPr="00BF0D53" w:rsidRDefault="00BF0D53" w:rsidP="00BF0D53">
      <w:pPr>
        <w:ind w:left="360"/>
        <w:rPr>
          <w:rFonts w:eastAsia="Calibri"/>
        </w:rPr>
      </w:pPr>
    </w:p>
    <w:p w:rsidR="00204CDC" w:rsidRDefault="00BF0D53" w:rsidP="00BF0D53">
      <w:pPr>
        <w:pStyle w:val="ListParagraph"/>
        <w:numPr>
          <w:ilvl w:val="0"/>
          <w:numId w:val="3"/>
        </w:numPr>
        <w:rPr>
          <w:rFonts w:eastAsia="Calibri"/>
        </w:rPr>
      </w:pPr>
      <w:r>
        <w:rPr>
          <w:rFonts w:eastAsia="Calibri"/>
        </w:rPr>
        <w:t>O</w:t>
      </w:r>
      <w:r w:rsidR="008C1B7A" w:rsidRPr="004B3450">
        <w:rPr>
          <w:rFonts w:eastAsia="Calibri"/>
        </w:rPr>
        <w:t>verall the percentage of residents who agree that people from different backgrounds get on well together has improved by 1 percentage point since 2012</w:t>
      </w:r>
      <w:r w:rsidR="008C1B7A">
        <w:rPr>
          <w:rFonts w:eastAsia="Calibri"/>
        </w:rPr>
        <w:t xml:space="preserve"> to 84% which is one percentage point short of the </w:t>
      </w:r>
      <w:r w:rsidR="008C1B7A" w:rsidRPr="004B3450">
        <w:rPr>
          <w:rFonts w:eastAsia="Calibri"/>
        </w:rPr>
        <w:t xml:space="preserve">target to improve this measure by 2 percentage points. </w:t>
      </w:r>
    </w:p>
    <w:p w:rsidR="00BF0D53" w:rsidRPr="00BF0D53" w:rsidRDefault="00BF0D53" w:rsidP="00BF0D53">
      <w:pPr>
        <w:ind w:left="360"/>
        <w:rPr>
          <w:rFonts w:eastAsia="Calibri"/>
        </w:rPr>
      </w:pPr>
    </w:p>
    <w:p w:rsidR="00C61C13" w:rsidRDefault="00915688" w:rsidP="00915688">
      <w:pPr>
        <w:pStyle w:val="ListParagraph"/>
        <w:numPr>
          <w:ilvl w:val="0"/>
          <w:numId w:val="3"/>
        </w:numPr>
        <w:rPr>
          <w:rFonts w:eastAsia="Calibri"/>
        </w:rPr>
      </w:pPr>
      <w:r w:rsidRPr="0085496C">
        <w:rPr>
          <w:rFonts w:eastAsia="Calibri"/>
        </w:rPr>
        <w:t xml:space="preserve">Within this overall measure there </w:t>
      </w:r>
      <w:r w:rsidR="0085496C" w:rsidRPr="0085496C">
        <w:rPr>
          <w:rFonts w:eastAsia="Calibri"/>
        </w:rPr>
        <w:t xml:space="preserve">are </w:t>
      </w:r>
      <w:r w:rsidRPr="0085496C">
        <w:rPr>
          <w:rFonts w:eastAsia="Calibri"/>
        </w:rPr>
        <w:t xml:space="preserve">some variations in perceptions. </w:t>
      </w:r>
      <w:r w:rsidR="0085496C" w:rsidRPr="0085496C">
        <w:rPr>
          <w:rFonts w:eastAsia="Calibri"/>
        </w:rPr>
        <w:t xml:space="preserve">The data suggests that there are geographic differences in this perception with Garden </w:t>
      </w:r>
      <w:r w:rsidR="00BF0D53">
        <w:rPr>
          <w:rFonts w:eastAsia="Calibri"/>
        </w:rPr>
        <w:t>S</w:t>
      </w:r>
      <w:r w:rsidR="0085496C" w:rsidRPr="0085496C">
        <w:rPr>
          <w:rFonts w:eastAsia="Calibri"/>
        </w:rPr>
        <w:t xml:space="preserve">uburb, East </w:t>
      </w:r>
      <w:r w:rsidR="008C1B7A" w:rsidRPr="0085496C">
        <w:rPr>
          <w:rFonts w:eastAsia="Calibri"/>
        </w:rPr>
        <w:t>Barnet</w:t>
      </w:r>
      <w:r w:rsidR="0085496C" w:rsidRPr="0085496C">
        <w:rPr>
          <w:rFonts w:eastAsia="Calibri"/>
        </w:rPr>
        <w:t xml:space="preserve"> and West Finchley showing more positive perception and </w:t>
      </w:r>
      <w:r w:rsidRPr="0085496C">
        <w:rPr>
          <w:rFonts w:eastAsia="Calibri"/>
        </w:rPr>
        <w:t>residents</w:t>
      </w:r>
      <w:r w:rsidR="0085496C" w:rsidRPr="0085496C">
        <w:rPr>
          <w:rFonts w:eastAsia="Calibri"/>
        </w:rPr>
        <w:t xml:space="preserve"> in </w:t>
      </w:r>
      <w:r w:rsidR="00C61C13">
        <w:rPr>
          <w:rFonts w:eastAsia="Calibri"/>
        </w:rPr>
        <w:t xml:space="preserve">Burnt Oak ward showing </w:t>
      </w:r>
      <w:r w:rsidR="008C1B7A">
        <w:rPr>
          <w:rFonts w:eastAsia="Calibri"/>
        </w:rPr>
        <w:t>a more</w:t>
      </w:r>
      <w:r w:rsidR="00C61C13">
        <w:rPr>
          <w:rFonts w:eastAsia="Calibri"/>
        </w:rPr>
        <w:t xml:space="preserve"> negative perception at 68%.</w:t>
      </w:r>
    </w:p>
    <w:p w:rsidR="00BF0D53" w:rsidRPr="00BF0D53" w:rsidRDefault="00BF0D53" w:rsidP="00BF0D53">
      <w:pPr>
        <w:ind w:left="360"/>
        <w:rPr>
          <w:rFonts w:eastAsia="Calibri"/>
        </w:rPr>
      </w:pPr>
    </w:p>
    <w:p w:rsidR="0085496C" w:rsidRDefault="00C61C13" w:rsidP="00915688">
      <w:pPr>
        <w:pStyle w:val="ListParagraph"/>
        <w:numPr>
          <w:ilvl w:val="0"/>
          <w:numId w:val="3"/>
        </w:numPr>
        <w:rPr>
          <w:rFonts w:eastAsia="Calibri"/>
        </w:rPr>
      </w:pPr>
      <w:r>
        <w:rPr>
          <w:rFonts w:eastAsia="Calibri"/>
        </w:rPr>
        <w:t xml:space="preserve">In addition health considerations appear to affect this perception with those in </w:t>
      </w:r>
      <w:r w:rsidR="0085496C" w:rsidRPr="0085496C">
        <w:rPr>
          <w:rFonts w:eastAsia="Calibri"/>
        </w:rPr>
        <w:t xml:space="preserve">fair </w:t>
      </w:r>
      <w:r w:rsidR="008C1B7A" w:rsidRPr="0085496C">
        <w:rPr>
          <w:rFonts w:eastAsia="Calibri"/>
        </w:rPr>
        <w:t>health or</w:t>
      </w:r>
      <w:r w:rsidR="0085496C" w:rsidRPr="0085496C">
        <w:rPr>
          <w:rFonts w:eastAsia="Calibri"/>
        </w:rPr>
        <w:t xml:space="preserve"> </w:t>
      </w:r>
      <w:r w:rsidR="00915688" w:rsidRPr="0085496C">
        <w:rPr>
          <w:rFonts w:eastAsia="Calibri"/>
        </w:rPr>
        <w:t xml:space="preserve"> with a limiting long term illness or disability</w:t>
      </w:r>
      <w:r w:rsidR="0085496C" w:rsidRPr="0085496C">
        <w:rPr>
          <w:rFonts w:eastAsia="Calibri"/>
        </w:rPr>
        <w:t xml:space="preserve"> </w:t>
      </w:r>
      <w:r w:rsidR="0085496C">
        <w:rPr>
          <w:rFonts w:eastAsia="Calibri"/>
        </w:rPr>
        <w:t xml:space="preserve">showing a </w:t>
      </w:r>
      <w:r w:rsidR="00CD76F5">
        <w:rPr>
          <w:rFonts w:eastAsia="Calibri"/>
        </w:rPr>
        <w:t xml:space="preserve">reduced </w:t>
      </w:r>
      <w:r w:rsidR="0085496C">
        <w:rPr>
          <w:rFonts w:eastAsia="Calibri"/>
        </w:rPr>
        <w:t>perception</w:t>
      </w:r>
      <w:r w:rsidR="00CD76F5">
        <w:rPr>
          <w:rFonts w:eastAsia="Calibri"/>
        </w:rPr>
        <w:t xml:space="preserve"> of </w:t>
      </w:r>
      <w:r w:rsidR="00CD76F5" w:rsidRPr="0085496C">
        <w:rPr>
          <w:rFonts w:eastAsia="Calibri"/>
        </w:rPr>
        <w:t>-6%</w:t>
      </w:r>
      <w:r w:rsidR="00CD76F5">
        <w:rPr>
          <w:rFonts w:eastAsia="Calibri"/>
        </w:rPr>
        <w:t xml:space="preserve"> and </w:t>
      </w:r>
      <w:r w:rsidR="00CD76F5" w:rsidRPr="0085496C">
        <w:rPr>
          <w:rFonts w:eastAsia="Calibri"/>
        </w:rPr>
        <w:t>-9%</w:t>
      </w:r>
      <w:r w:rsidR="00CD76F5">
        <w:rPr>
          <w:rFonts w:eastAsia="Calibri"/>
        </w:rPr>
        <w:t xml:space="preserve"> below the overall figure respectively.</w:t>
      </w:r>
    </w:p>
    <w:p w:rsidR="00BF0D53" w:rsidRPr="00BF0D53" w:rsidRDefault="00BF0D53" w:rsidP="00BF0D53">
      <w:pPr>
        <w:ind w:left="360"/>
        <w:rPr>
          <w:rFonts w:eastAsia="Calibri"/>
        </w:rPr>
      </w:pPr>
    </w:p>
    <w:p w:rsidR="0085496C" w:rsidRDefault="00915688" w:rsidP="00915688">
      <w:pPr>
        <w:pStyle w:val="ListParagraph"/>
        <w:numPr>
          <w:ilvl w:val="0"/>
          <w:numId w:val="3"/>
        </w:numPr>
        <w:rPr>
          <w:rFonts w:eastAsia="Calibri"/>
        </w:rPr>
      </w:pPr>
      <w:r w:rsidRPr="0085496C">
        <w:rPr>
          <w:rFonts w:eastAsia="Calibri"/>
        </w:rPr>
        <w:t xml:space="preserve">The Residents Perception Survey takes place </w:t>
      </w:r>
      <w:r w:rsidR="0085496C">
        <w:rPr>
          <w:rFonts w:eastAsia="Calibri"/>
        </w:rPr>
        <w:t xml:space="preserve">twice yearly and it </w:t>
      </w:r>
      <w:r w:rsidRPr="0085496C">
        <w:rPr>
          <w:rFonts w:eastAsia="Calibri"/>
        </w:rPr>
        <w:t xml:space="preserve">will be important to </w:t>
      </w:r>
      <w:r w:rsidR="0085496C">
        <w:rPr>
          <w:rFonts w:eastAsia="Calibri"/>
        </w:rPr>
        <w:t xml:space="preserve">monitor these trends </w:t>
      </w:r>
      <w:r w:rsidRPr="0085496C">
        <w:rPr>
          <w:rFonts w:eastAsia="Calibri"/>
        </w:rPr>
        <w:t>to understand how well different groups are getting along</w:t>
      </w:r>
      <w:r w:rsidR="0085496C">
        <w:rPr>
          <w:rFonts w:eastAsia="Calibri"/>
        </w:rPr>
        <w:t>.</w:t>
      </w:r>
    </w:p>
    <w:p w:rsidR="00BF0D53" w:rsidRPr="00BF0D53" w:rsidRDefault="00BF0D53" w:rsidP="00BF0D53">
      <w:pPr>
        <w:ind w:left="360"/>
        <w:rPr>
          <w:rFonts w:eastAsia="Calibri"/>
        </w:rPr>
      </w:pPr>
    </w:p>
    <w:p w:rsidR="00CD76F5" w:rsidRDefault="008C1B7A" w:rsidP="00915688">
      <w:pPr>
        <w:pStyle w:val="ListParagraph"/>
        <w:numPr>
          <w:ilvl w:val="0"/>
          <w:numId w:val="3"/>
        </w:numPr>
        <w:rPr>
          <w:rFonts w:eastAsia="Calibri"/>
        </w:rPr>
      </w:pPr>
      <w:r>
        <w:rPr>
          <w:rFonts w:eastAsia="Calibri"/>
        </w:rPr>
        <w:t>The information will be shared with partners in Health and Regeneration and taken into account in broader participation and engagement strategies as we address the needs and aspirations of particular groups of Barnet citizens and particular locations.</w:t>
      </w:r>
    </w:p>
    <w:p w:rsidR="00CD76F5" w:rsidRPr="00BF0D53" w:rsidRDefault="00CD76F5" w:rsidP="00BF0D53">
      <w:pPr>
        <w:ind w:left="360"/>
        <w:rPr>
          <w:rFonts w:eastAsia="Calibri"/>
        </w:rPr>
      </w:pPr>
    </w:p>
    <w:p w:rsidR="0085496C" w:rsidRPr="00CD76F5" w:rsidRDefault="0085496C" w:rsidP="00CD76F5">
      <w:pPr>
        <w:ind w:left="360"/>
        <w:rPr>
          <w:rFonts w:eastAsia="Calibri"/>
        </w:rPr>
      </w:pPr>
    </w:p>
    <w:p w:rsidR="00C61C13" w:rsidRPr="006000A3" w:rsidRDefault="00915688" w:rsidP="00915688">
      <w:pPr>
        <w:spacing w:line="276" w:lineRule="auto"/>
        <w:contextualSpacing/>
        <w:rPr>
          <w:rFonts w:eastAsia="Calibri" w:cs="Arial"/>
          <w:b/>
          <w:i/>
          <w:iCs/>
          <w:sz w:val="24"/>
        </w:rPr>
      </w:pPr>
      <w:r w:rsidRPr="006000A3">
        <w:rPr>
          <w:rFonts w:eastAsia="Calibri" w:cs="Arial"/>
          <w:b/>
          <w:i/>
          <w:iCs/>
          <w:sz w:val="24"/>
        </w:rPr>
        <w:t xml:space="preserve">3.2 </w:t>
      </w:r>
      <w:r w:rsidR="00BF0D53" w:rsidRPr="006000A3">
        <w:rPr>
          <w:rFonts w:eastAsia="Calibri" w:cs="Arial"/>
          <w:b/>
          <w:i/>
          <w:iCs/>
          <w:sz w:val="24"/>
        </w:rPr>
        <w:t>The target set is to keep the % of residents who feel the council doesn’t do enough for people like me at 47% taking 2012 as the baseline</w:t>
      </w:r>
      <w:r w:rsidR="00726C2F">
        <w:rPr>
          <w:rFonts w:eastAsia="Calibri" w:cs="Arial"/>
          <w:b/>
          <w:i/>
          <w:iCs/>
          <w:sz w:val="24"/>
        </w:rPr>
        <w:t>.</w:t>
      </w:r>
    </w:p>
    <w:p w:rsidR="00F0690A" w:rsidRPr="000B1E1C" w:rsidRDefault="00F0690A" w:rsidP="00915688">
      <w:pPr>
        <w:spacing w:line="276" w:lineRule="auto"/>
        <w:contextualSpacing/>
        <w:rPr>
          <w:rFonts w:eastAsia="Calibri" w:cs="Arial"/>
          <w:b/>
          <w:i/>
        </w:rPr>
      </w:pPr>
    </w:p>
    <w:p w:rsidR="00915688" w:rsidRPr="00A10D19" w:rsidRDefault="00915688" w:rsidP="00915688">
      <w:pPr>
        <w:rPr>
          <w:rFonts w:eastAsia="Calibri"/>
          <w:szCs w:val="22"/>
          <w:highlight w:val="yellow"/>
        </w:rPr>
      </w:pPr>
    </w:p>
    <w:tbl>
      <w:tblPr>
        <w:tblW w:w="8563" w:type="dxa"/>
        <w:tblInd w:w="679" w:type="dxa"/>
        <w:tblCellMar>
          <w:left w:w="0" w:type="dxa"/>
          <w:right w:w="0" w:type="dxa"/>
        </w:tblCellMar>
        <w:tblLook w:val="04A0" w:firstRow="1" w:lastRow="0" w:firstColumn="1" w:lastColumn="0" w:noHBand="0" w:noVBand="1"/>
      </w:tblPr>
      <w:tblGrid>
        <w:gridCol w:w="1120"/>
        <w:gridCol w:w="1182"/>
        <w:gridCol w:w="127"/>
        <w:gridCol w:w="1429"/>
        <w:gridCol w:w="999"/>
        <w:gridCol w:w="1158"/>
        <w:gridCol w:w="1390"/>
        <w:gridCol w:w="1158"/>
      </w:tblGrid>
      <w:tr w:rsidR="00CF6445" w:rsidTr="00BF0D53">
        <w:trPr>
          <w:trHeight w:val="600"/>
        </w:trPr>
        <w:tc>
          <w:tcPr>
            <w:tcW w:w="2302" w:type="dxa"/>
            <w:gridSpan w:val="2"/>
            <w:tcBorders>
              <w:top w:val="single" w:sz="8" w:space="0" w:color="4F81BD"/>
              <w:left w:val="single" w:sz="8" w:space="0" w:color="4F81BD"/>
              <w:bottom w:val="nil"/>
              <w:right w:val="nil"/>
            </w:tcBorders>
            <w:shd w:val="clear" w:color="auto" w:fill="4F81BD"/>
            <w:noWrap/>
            <w:tcMar>
              <w:top w:w="0" w:type="dxa"/>
              <w:left w:w="108" w:type="dxa"/>
              <w:bottom w:w="0" w:type="dxa"/>
              <w:right w:w="108" w:type="dxa"/>
            </w:tcMar>
          </w:tcPr>
          <w:p w:rsidR="00CF6445" w:rsidRPr="00A10D19" w:rsidRDefault="00CF6445" w:rsidP="00F24FE0">
            <w:pPr>
              <w:rPr>
                <w:rFonts w:ascii="Calibri" w:eastAsia="Calibri" w:hAnsi="Calibri"/>
                <w:b/>
                <w:bCs/>
                <w:color w:val="000000"/>
                <w:szCs w:val="22"/>
              </w:rPr>
            </w:pPr>
            <w:r>
              <w:rPr>
                <w:b/>
                <w:bCs/>
                <w:color w:val="000000"/>
              </w:rPr>
              <w:t> </w:t>
            </w:r>
          </w:p>
        </w:tc>
        <w:tc>
          <w:tcPr>
            <w:tcW w:w="1556" w:type="dxa"/>
            <w:gridSpan w:val="2"/>
            <w:tcBorders>
              <w:top w:val="single" w:sz="8" w:space="0" w:color="4F81BD"/>
              <w:left w:val="nil"/>
              <w:bottom w:val="nil"/>
              <w:right w:val="nil"/>
            </w:tcBorders>
            <w:shd w:val="clear" w:color="auto" w:fill="4F81BD"/>
            <w:noWrap/>
            <w:tcMar>
              <w:top w:w="0" w:type="dxa"/>
              <w:left w:w="108" w:type="dxa"/>
              <w:bottom w:w="0" w:type="dxa"/>
              <w:right w:w="108" w:type="dxa"/>
            </w:tcMar>
          </w:tcPr>
          <w:p w:rsidR="00CF6445" w:rsidRPr="00A10D19" w:rsidRDefault="00CF6445" w:rsidP="00F24FE0">
            <w:pPr>
              <w:jc w:val="right"/>
              <w:rPr>
                <w:rFonts w:ascii="Calibri" w:eastAsia="Calibri" w:hAnsi="Calibri"/>
                <w:b/>
                <w:bCs/>
                <w:color w:val="FFFFFF"/>
                <w:szCs w:val="22"/>
              </w:rPr>
            </w:pPr>
            <w:r>
              <w:rPr>
                <w:b/>
                <w:bCs/>
                <w:color w:val="FFFFFF"/>
              </w:rPr>
              <w:t>2012</w:t>
            </w:r>
          </w:p>
        </w:tc>
        <w:tc>
          <w:tcPr>
            <w:tcW w:w="999" w:type="dxa"/>
            <w:tcBorders>
              <w:top w:val="single" w:sz="8" w:space="0" w:color="4F81BD"/>
              <w:left w:val="nil"/>
              <w:bottom w:val="nil"/>
              <w:right w:val="nil"/>
            </w:tcBorders>
            <w:shd w:val="clear" w:color="auto" w:fill="4F81BD"/>
            <w:tcMar>
              <w:top w:w="0" w:type="dxa"/>
              <w:left w:w="108" w:type="dxa"/>
              <w:bottom w:w="0" w:type="dxa"/>
              <w:right w:w="108" w:type="dxa"/>
            </w:tcMar>
          </w:tcPr>
          <w:p w:rsidR="00CF6445" w:rsidRDefault="00CF6445" w:rsidP="002F6232">
            <w:pPr>
              <w:jc w:val="center"/>
              <w:rPr>
                <w:b/>
                <w:bCs/>
                <w:color w:val="FFFFFF"/>
              </w:rPr>
            </w:pPr>
            <w:r>
              <w:rPr>
                <w:b/>
                <w:bCs/>
                <w:color w:val="FFFFFF"/>
              </w:rPr>
              <w:t>2013</w:t>
            </w:r>
          </w:p>
          <w:p w:rsidR="00CF6445" w:rsidRDefault="00CF6445" w:rsidP="002F6232">
            <w:pPr>
              <w:jc w:val="center"/>
              <w:rPr>
                <w:b/>
                <w:bCs/>
                <w:color w:val="FFFFFF"/>
              </w:rPr>
            </w:pPr>
          </w:p>
          <w:p w:rsidR="00CF6445" w:rsidRPr="00A10D19" w:rsidRDefault="00CF6445" w:rsidP="002F6232">
            <w:pPr>
              <w:jc w:val="center"/>
              <w:rPr>
                <w:rFonts w:ascii="Calibri" w:eastAsia="Calibri" w:hAnsi="Calibri"/>
                <w:b/>
                <w:bCs/>
                <w:color w:val="FFFFFF"/>
                <w:szCs w:val="22"/>
              </w:rPr>
            </w:pPr>
            <w:r>
              <w:rPr>
                <w:b/>
                <w:bCs/>
                <w:color w:val="FFFFFF"/>
              </w:rPr>
              <w:t>A great deal/to some extent</w:t>
            </w:r>
          </w:p>
        </w:tc>
        <w:tc>
          <w:tcPr>
            <w:tcW w:w="1158" w:type="dxa"/>
            <w:tcBorders>
              <w:top w:val="single" w:sz="8" w:space="0" w:color="4F81BD"/>
              <w:left w:val="nil"/>
              <w:bottom w:val="nil"/>
              <w:right w:val="nil"/>
            </w:tcBorders>
            <w:shd w:val="clear" w:color="auto" w:fill="4F81BD"/>
          </w:tcPr>
          <w:p w:rsidR="00CF6445" w:rsidRDefault="00CF6445" w:rsidP="002F6232">
            <w:pPr>
              <w:jc w:val="center"/>
              <w:rPr>
                <w:b/>
                <w:bCs/>
                <w:color w:val="FFFFFF"/>
              </w:rPr>
            </w:pPr>
            <w:r>
              <w:rPr>
                <w:b/>
                <w:bCs/>
                <w:color w:val="FFFFFF"/>
              </w:rPr>
              <w:t>2014</w:t>
            </w:r>
          </w:p>
          <w:p w:rsidR="00CF6445" w:rsidRDefault="00CF6445" w:rsidP="002F6232">
            <w:pPr>
              <w:jc w:val="center"/>
              <w:rPr>
                <w:b/>
                <w:bCs/>
                <w:color w:val="FFFFFF"/>
              </w:rPr>
            </w:pPr>
          </w:p>
          <w:p w:rsidR="00CF6445" w:rsidRDefault="00CF6445" w:rsidP="002F6232">
            <w:pPr>
              <w:jc w:val="center"/>
              <w:rPr>
                <w:b/>
                <w:bCs/>
                <w:color w:val="FFFFFF"/>
              </w:rPr>
            </w:pPr>
            <w:r>
              <w:rPr>
                <w:b/>
                <w:bCs/>
                <w:color w:val="FFFFFF"/>
              </w:rPr>
              <w:t>A great deal/to some extent</w:t>
            </w:r>
          </w:p>
          <w:p w:rsidR="00CF6445" w:rsidRDefault="00CF6445" w:rsidP="002F6232">
            <w:pPr>
              <w:jc w:val="center"/>
              <w:rPr>
                <w:b/>
                <w:bCs/>
                <w:color w:val="FFFFFF"/>
              </w:rPr>
            </w:pPr>
          </w:p>
          <w:p w:rsidR="00CF6445" w:rsidRDefault="00CF6445" w:rsidP="002F6232">
            <w:pPr>
              <w:jc w:val="center"/>
              <w:rPr>
                <w:b/>
                <w:bCs/>
                <w:color w:val="FFFFFF"/>
              </w:rPr>
            </w:pPr>
          </w:p>
        </w:tc>
        <w:tc>
          <w:tcPr>
            <w:tcW w:w="1390" w:type="dxa"/>
            <w:tcBorders>
              <w:top w:val="single" w:sz="8" w:space="0" w:color="4F81BD"/>
              <w:left w:val="nil"/>
              <w:bottom w:val="nil"/>
              <w:right w:val="nil"/>
            </w:tcBorders>
            <w:shd w:val="clear" w:color="auto" w:fill="4F81BD"/>
            <w:tcMar>
              <w:top w:w="0" w:type="dxa"/>
              <w:left w:w="108" w:type="dxa"/>
              <w:bottom w:w="0" w:type="dxa"/>
              <w:right w:w="108" w:type="dxa"/>
            </w:tcMar>
          </w:tcPr>
          <w:p w:rsidR="00CF6445" w:rsidRPr="00A10D19" w:rsidRDefault="002F6232" w:rsidP="00F24FE0">
            <w:pPr>
              <w:jc w:val="right"/>
              <w:rPr>
                <w:rFonts w:ascii="Calibri" w:eastAsia="Calibri" w:hAnsi="Calibri"/>
                <w:b/>
                <w:bCs/>
                <w:color w:val="FFFFFF"/>
                <w:szCs w:val="22"/>
              </w:rPr>
            </w:pPr>
            <w:r>
              <w:rPr>
                <w:b/>
                <w:bCs/>
                <w:color w:val="FFFFFF"/>
              </w:rPr>
              <w:t xml:space="preserve">2014 </w:t>
            </w:r>
            <w:r w:rsidR="00CF6445">
              <w:rPr>
                <w:b/>
                <w:bCs/>
                <w:color w:val="FFFFFF"/>
              </w:rPr>
              <w:t>Responses</w:t>
            </w:r>
          </w:p>
        </w:tc>
        <w:tc>
          <w:tcPr>
            <w:tcW w:w="1158"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tcPr>
          <w:p w:rsidR="00CF6445" w:rsidRPr="00A10D19" w:rsidRDefault="00CF6445" w:rsidP="00F24FE0">
            <w:pPr>
              <w:jc w:val="right"/>
              <w:rPr>
                <w:rFonts w:ascii="Calibri" w:eastAsia="Calibri" w:hAnsi="Calibri"/>
                <w:b/>
                <w:bCs/>
                <w:color w:val="FFFFFF"/>
                <w:szCs w:val="22"/>
              </w:rPr>
            </w:pPr>
            <w:r>
              <w:rPr>
                <w:b/>
                <w:bCs/>
                <w:color w:val="FFFFFF"/>
              </w:rPr>
              <w:t xml:space="preserve">Variation from overall figures </w:t>
            </w:r>
          </w:p>
        </w:tc>
      </w:tr>
      <w:tr w:rsidR="00CF6445" w:rsidTr="00BF0D53">
        <w:trPr>
          <w:trHeight w:val="300"/>
        </w:trPr>
        <w:tc>
          <w:tcPr>
            <w:tcW w:w="2302" w:type="dxa"/>
            <w:gridSpan w:val="2"/>
            <w:tcBorders>
              <w:top w:val="single" w:sz="8" w:space="0" w:color="4F81BD"/>
              <w:left w:val="single" w:sz="8" w:space="0" w:color="4F81BD"/>
              <w:bottom w:val="single" w:sz="8" w:space="0" w:color="4F81BD"/>
              <w:right w:val="nil"/>
            </w:tcBorders>
            <w:noWrap/>
            <w:tcMar>
              <w:top w:w="0" w:type="dxa"/>
              <w:left w:w="108" w:type="dxa"/>
              <w:bottom w:w="0" w:type="dxa"/>
              <w:right w:w="108" w:type="dxa"/>
            </w:tcMar>
          </w:tcPr>
          <w:p w:rsidR="00CF6445" w:rsidRPr="00A10D19" w:rsidRDefault="00CF6445" w:rsidP="00F24FE0">
            <w:pPr>
              <w:rPr>
                <w:rFonts w:ascii="Calibri" w:eastAsia="Calibri" w:hAnsi="Calibri"/>
                <w:b/>
                <w:bCs/>
                <w:color w:val="000000"/>
                <w:szCs w:val="22"/>
              </w:rPr>
            </w:pPr>
            <w:r>
              <w:rPr>
                <w:b/>
                <w:bCs/>
                <w:color w:val="000000"/>
              </w:rPr>
              <w:t> </w:t>
            </w:r>
          </w:p>
        </w:tc>
        <w:tc>
          <w:tcPr>
            <w:tcW w:w="1556" w:type="dxa"/>
            <w:gridSpan w:val="2"/>
            <w:tcBorders>
              <w:top w:val="single" w:sz="8" w:space="0" w:color="4F81BD"/>
              <w:left w:val="nil"/>
              <w:bottom w:val="single" w:sz="8" w:space="0" w:color="4F81BD"/>
              <w:right w:val="nil"/>
            </w:tcBorders>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w:t>
            </w:r>
          </w:p>
        </w:tc>
        <w:tc>
          <w:tcPr>
            <w:tcW w:w="999" w:type="dxa"/>
            <w:tcBorders>
              <w:top w:val="single" w:sz="8" w:space="0" w:color="4F81BD"/>
              <w:left w:val="nil"/>
              <w:bottom w:val="single" w:sz="8" w:space="0" w:color="4F81BD"/>
              <w:right w:val="nil"/>
            </w:tcBorders>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w:t>
            </w:r>
          </w:p>
        </w:tc>
        <w:tc>
          <w:tcPr>
            <w:tcW w:w="1158" w:type="dxa"/>
            <w:tcBorders>
              <w:top w:val="single" w:sz="8" w:space="0" w:color="4F81BD"/>
              <w:left w:val="nil"/>
              <w:bottom w:val="single" w:sz="8" w:space="0" w:color="4F81BD"/>
              <w:right w:val="nil"/>
            </w:tcBorders>
          </w:tcPr>
          <w:p w:rsidR="00CF6445" w:rsidRDefault="002F6232" w:rsidP="00F24FE0">
            <w:pPr>
              <w:jc w:val="right"/>
              <w:rPr>
                <w:color w:val="000000"/>
              </w:rPr>
            </w:pPr>
            <w:r>
              <w:rPr>
                <w:color w:val="000000"/>
              </w:rPr>
              <w:t>%</w:t>
            </w:r>
          </w:p>
        </w:tc>
        <w:tc>
          <w:tcPr>
            <w:tcW w:w="1390" w:type="dxa"/>
            <w:tcBorders>
              <w:top w:val="single" w:sz="8" w:space="0" w:color="4F81BD"/>
              <w:left w:val="nil"/>
              <w:bottom w:val="single" w:sz="8" w:space="0" w:color="4F81BD"/>
              <w:right w:val="nil"/>
            </w:tcBorders>
            <w:tcMar>
              <w:top w:w="0" w:type="dxa"/>
              <w:left w:w="108" w:type="dxa"/>
              <w:bottom w:w="0" w:type="dxa"/>
              <w:right w:w="108" w:type="dxa"/>
            </w:tcMar>
          </w:tcPr>
          <w:p w:rsidR="00CF6445" w:rsidRPr="002F6232" w:rsidRDefault="00CF6445" w:rsidP="00F24FE0">
            <w:pPr>
              <w:jc w:val="right"/>
              <w:rPr>
                <w:rFonts w:ascii="Calibri" w:eastAsia="Calibri" w:hAnsi="Calibri"/>
                <w:color w:val="000000"/>
                <w:szCs w:val="22"/>
                <w:highlight w:val="yellow"/>
              </w:rPr>
            </w:pPr>
            <w:r w:rsidRPr="002F6232">
              <w:rPr>
                <w:color w:val="000000"/>
                <w:highlight w:val="yellow"/>
              </w:rPr>
              <w:t>Number</w:t>
            </w:r>
          </w:p>
        </w:tc>
        <w:tc>
          <w:tcPr>
            <w:tcW w:w="1158"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w:t>
            </w:r>
          </w:p>
        </w:tc>
      </w:tr>
      <w:tr w:rsidR="00CF6445" w:rsidTr="00BF0D53">
        <w:trPr>
          <w:trHeight w:val="300"/>
        </w:trPr>
        <w:tc>
          <w:tcPr>
            <w:tcW w:w="2302" w:type="dxa"/>
            <w:gridSpan w:val="2"/>
            <w:tcBorders>
              <w:top w:val="nil"/>
              <w:left w:val="single" w:sz="8" w:space="0" w:color="4F81BD"/>
              <w:bottom w:val="nil"/>
              <w:right w:val="nil"/>
            </w:tcBorders>
            <w:noWrap/>
            <w:tcMar>
              <w:top w:w="0" w:type="dxa"/>
              <w:left w:w="108" w:type="dxa"/>
              <w:bottom w:w="0" w:type="dxa"/>
              <w:right w:w="108" w:type="dxa"/>
            </w:tcMar>
          </w:tcPr>
          <w:p w:rsidR="00CF6445" w:rsidRPr="00A10D19" w:rsidRDefault="00CF6445" w:rsidP="00F24FE0">
            <w:pPr>
              <w:rPr>
                <w:rFonts w:ascii="Calibri" w:eastAsia="Calibri" w:hAnsi="Calibri"/>
                <w:b/>
                <w:bCs/>
                <w:color w:val="000000"/>
                <w:szCs w:val="22"/>
              </w:rPr>
            </w:pPr>
            <w:r>
              <w:rPr>
                <w:b/>
                <w:bCs/>
                <w:color w:val="000000"/>
              </w:rPr>
              <w:t>Overall</w:t>
            </w:r>
          </w:p>
        </w:tc>
        <w:tc>
          <w:tcPr>
            <w:tcW w:w="1556" w:type="dxa"/>
            <w:gridSpan w:val="2"/>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47</w:t>
            </w:r>
          </w:p>
        </w:tc>
        <w:tc>
          <w:tcPr>
            <w:tcW w:w="999" w:type="dxa"/>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51</w:t>
            </w:r>
          </w:p>
        </w:tc>
        <w:tc>
          <w:tcPr>
            <w:tcW w:w="1158" w:type="dxa"/>
          </w:tcPr>
          <w:p w:rsidR="00CF6445" w:rsidRDefault="002F6232" w:rsidP="00F24FE0">
            <w:pPr>
              <w:jc w:val="right"/>
              <w:rPr>
                <w:color w:val="000000"/>
              </w:rPr>
            </w:pPr>
            <w:r>
              <w:rPr>
                <w:color w:val="000000"/>
              </w:rPr>
              <w:t>55</w:t>
            </w:r>
          </w:p>
        </w:tc>
        <w:tc>
          <w:tcPr>
            <w:tcW w:w="1390" w:type="dxa"/>
            <w:tcMar>
              <w:top w:w="0" w:type="dxa"/>
              <w:left w:w="108" w:type="dxa"/>
              <w:bottom w:w="0" w:type="dxa"/>
              <w:right w:w="108" w:type="dxa"/>
            </w:tcMar>
          </w:tcPr>
          <w:p w:rsidR="00CF6445" w:rsidRPr="002F6232" w:rsidRDefault="00CF6445" w:rsidP="002F6232">
            <w:pPr>
              <w:jc w:val="right"/>
              <w:rPr>
                <w:rFonts w:ascii="Calibri" w:eastAsia="Calibri" w:hAnsi="Calibri"/>
                <w:color w:val="000000"/>
                <w:szCs w:val="22"/>
                <w:highlight w:val="yellow"/>
              </w:rPr>
            </w:pPr>
            <w:r w:rsidRPr="002F6232">
              <w:rPr>
                <w:color w:val="000000"/>
                <w:highlight w:val="yellow"/>
              </w:rPr>
              <w:t>1,</w:t>
            </w:r>
            <w:r w:rsidR="002F6232" w:rsidRPr="002F6232">
              <w:rPr>
                <w:color w:val="000000"/>
                <w:highlight w:val="yellow"/>
              </w:rPr>
              <w:t>993</w:t>
            </w:r>
          </w:p>
        </w:tc>
        <w:tc>
          <w:tcPr>
            <w:tcW w:w="1158" w:type="dxa"/>
            <w:tcBorders>
              <w:top w:val="nil"/>
              <w:left w:val="nil"/>
              <w:bottom w:val="nil"/>
              <w:right w:val="single" w:sz="8" w:space="0" w:color="4F81BD"/>
            </w:tcBorders>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 </w:t>
            </w:r>
          </w:p>
        </w:tc>
      </w:tr>
      <w:tr w:rsidR="00CF6445" w:rsidTr="00BF0D53">
        <w:trPr>
          <w:trHeight w:val="825"/>
        </w:trPr>
        <w:tc>
          <w:tcPr>
            <w:tcW w:w="2302" w:type="dxa"/>
            <w:gridSpan w:val="2"/>
            <w:tcBorders>
              <w:top w:val="single" w:sz="8" w:space="0" w:color="4F81BD"/>
              <w:left w:val="single" w:sz="8" w:space="0" w:color="4F81BD"/>
              <w:bottom w:val="single" w:sz="8" w:space="0" w:color="4F81BD"/>
              <w:right w:val="nil"/>
            </w:tcBorders>
            <w:tcMar>
              <w:top w:w="0" w:type="dxa"/>
              <w:left w:w="108" w:type="dxa"/>
              <w:bottom w:w="0" w:type="dxa"/>
              <w:right w:w="108" w:type="dxa"/>
            </w:tcMar>
          </w:tcPr>
          <w:p w:rsidR="00CF6445" w:rsidRPr="00A10D19" w:rsidRDefault="00CF6445" w:rsidP="00F24FE0">
            <w:pPr>
              <w:rPr>
                <w:rFonts w:ascii="Calibri" w:eastAsia="Calibri" w:hAnsi="Calibri"/>
                <w:b/>
                <w:bCs/>
                <w:color w:val="000000"/>
                <w:szCs w:val="22"/>
              </w:rPr>
            </w:pPr>
            <w:r>
              <w:rPr>
                <w:b/>
                <w:bCs/>
                <w:color w:val="000000"/>
              </w:rPr>
              <w:t>By LLTI- limiting illness/ disability</w:t>
            </w:r>
          </w:p>
        </w:tc>
        <w:tc>
          <w:tcPr>
            <w:tcW w:w="1556" w:type="dxa"/>
            <w:gridSpan w:val="2"/>
            <w:tcBorders>
              <w:top w:val="single" w:sz="8" w:space="0" w:color="4F81BD"/>
              <w:left w:val="nil"/>
              <w:bottom w:val="single" w:sz="8" w:space="0" w:color="4F81BD"/>
              <w:right w:val="nil"/>
            </w:tcBorders>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46*</w:t>
            </w:r>
          </w:p>
        </w:tc>
        <w:tc>
          <w:tcPr>
            <w:tcW w:w="999" w:type="dxa"/>
            <w:tcBorders>
              <w:top w:val="single" w:sz="8" w:space="0" w:color="4F81BD"/>
              <w:left w:val="nil"/>
              <w:bottom w:val="single" w:sz="8" w:space="0" w:color="4F81BD"/>
              <w:right w:val="nil"/>
            </w:tcBorders>
            <w:noWrap/>
            <w:tcMar>
              <w:top w:w="0" w:type="dxa"/>
              <w:left w:w="108" w:type="dxa"/>
              <w:bottom w:w="0" w:type="dxa"/>
              <w:right w:w="108" w:type="dxa"/>
            </w:tcMar>
          </w:tcPr>
          <w:p w:rsidR="00CF6445" w:rsidRPr="00A10D19" w:rsidRDefault="00CF6445" w:rsidP="00F24FE0">
            <w:pPr>
              <w:jc w:val="right"/>
              <w:rPr>
                <w:rFonts w:ascii="Calibri" w:eastAsia="Calibri" w:hAnsi="Calibri"/>
                <w:color w:val="000000"/>
                <w:szCs w:val="22"/>
              </w:rPr>
            </w:pPr>
            <w:r>
              <w:rPr>
                <w:color w:val="000000"/>
              </w:rPr>
              <w:t>60</w:t>
            </w:r>
          </w:p>
        </w:tc>
        <w:tc>
          <w:tcPr>
            <w:tcW w:w="1158" w:type="dxa"/>
            <w:tcBorders>
              <w:top w:val="single" w:sz="8" w:space="0" w:color="4F81BD"/>
              <w:left w:val="nil"/>
              <w:bottom w:val="single" w:sz="8" w:space="0" w:color="4F81BD"/>
              <w:right w:val="nil"/>
            </w:tcBorders>
          </w:tcPr>
          <w:p w:rsidR="00CF6445" w:rsidRDefault="002F6232" w:rsidP="00F24FE0">
            <w:pPr>
              <w:jc w:val="right"/>
            </w:pPr>
            <w:r>
              <w:t>64*</w:t>
            </w:r>
          </w:p>
        </w:tc>
        <w:tc>
          <w:tcPr>
            <w:tcW w:w="1390" w:type="dxa"/>
            <w:tcBorders>
              <w:top w:val="single" w:sz="8" w:space="0" w:color="4F81BD"/>
              <w:left w:val="nil"/>
              <w:bottom w:val="single" w:sz="8" w:space="0" w:color="4F81BD"/>
              <w:right w:val="nil"/>
            </w:tcBorders>
            <w:tcMar>
              <w:top w:w="0" w:type="dxa"/>
              <w:left w:w="108" w:type="dxa"/>
              <w:bottom w:w="0" w:type="dxa"/>
              <w:right w:w="108" w:type="dxa"/>
            </w:tcMar>
          </w:tcPr>
          <w:p w:rsidR="00CF6445" w:rsidRPr="002F6232" w:rsidRDefault="00CF6445" w:rsidP="002F6232">
            <w:pPr>
              <w:jc w:val="right"/>
              <w:rPr>
                <w:rFonts w:ascii="Calibri" w:eastAsia="Calibri" w:hAnsi="Calibri"/>
                <w:szCs w:val="22"/>
                <w:highlight w:val="yellow"/>
              </w:rPr>
            </w:pPr>
            <w:r w:rsidRPr="002F6232">
              <w:rPr>
                <w:highlight w:val="yellow"/>
              </w:rPr>
              <w:t>1</w:t>
            </w:r>
            <w:r w:rsidR="002F6232" w:rsidRPr="002F6232">
              <w:rPr>
                <w:highlight w:val="yellow"/>
              </w:rPr>
              <w:t>38</w:t>
            </w:r>
          </w:p>
        </w:tc>
        <w:tc>
          <w:tcPr>
            <w:tcW w:w="1158"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tcPr>
          <w:p w:rsidR="00CF6445" w:rsidRPr="00A10D19" w:rsidRDefault="00CF6445" w:rsidP="00DA0F0B">
            <w:pPr>
              <w:jc w:val="right"/>
              <w:rPr>
                <w:rFonts w:ascii="Calibri" w:eastAsia="Calibri" w:hAnsi="Calibri"/>
                <w:szCs w:val="22"/>
              </w:rPr>
            </w:pPr>
            <w:r>
              <w:rPr>
                <w:color w:val="FF0000"/>
              </w:rPr>
              <w:t>+</w:t>
            </w:r>
            <w:r w:rsidR="00DA0F0B">
              <w:rPr>
                <w:color w:val="FF0000"/>
              </w:rPr>
              <w:t>10</w:t>
            </w:r>
          </w:p>
        </w:tc>
      </w:tr>
      <w:tr w:rsidR="00CF6445" w:rsidTr="00CF6445">
        <w:trPr>
          <w:trHeight w:val="300"/>
        </w:trPr>
        <w:tc>
          <w:tcPr>
            <w:tcW w:w="1120" w:type="dxa"/>
            <w:tcBorders>
              <w:top w:val="nil"/>
              <w:left w:val="single" w:sz="8" w:space="0" w:color="4F81BD"/>
              <w:bottom w:val="single" w:sz="8" w:space="0" w:color="4F81BD"/>
              <w:right w:val="nil"/>
            </w:tcBorders>
            <w:tcMar>
              <w:top w:w="0" w:type="dxa"/>
              <w:left w:w="108" w:type="dxa"/>
              <w:bottom w:w="0" w:type="dxa"/>
              <w:right w:w="108" w:type="dxa"/>
            </w:tcMar>
          </w:tcPr>
          <w:p w:rsidR="00CF6445" w:rsidRPr="00A10D19" w:rsidRDefault="00CF6445" w:rsidP="00F24FE0">
            <w:pPr>
              <w:rPr>
                <w:rFonts w:ascii="Calibri" w:eastAsia="Calibri" w:hAnsi="Calibri"/>
                <w:b/>
                <w:bCs/>
                <w:color w:val="000000"/>
                <w:szCs w:val="22"/>
              </w:rPr>
            </w:pPr>
          </w:p>
        </w:tc>
        <w:tc>
          <w:tcPr>
            <w:tcW w:w="1309" w:type="dxa"/>
            <w:gridSpan w:val="2"/>
            <w:tcBorders>
              <w:top w:val="nil"/>
              <w:left w:val="nil"/>
              <w:bottom w:val="single" w:sz="8" w:space="0" w:color="4F81BD"/>
              <w:right w:val="nil"/>
            </w:tcBorders>
          </w:tcPr>
          <w:p w:rsidR="00CF6445" w:rsidRDefault="00CF6445" w:rsidP="00F24FE0">
            <w:pPr>
              <w:rPr>
                <w:b/>
                <w:bCs/>
                <w:color w:val="000000"/>
              </w:rPr>
            </w:pPr>
          </w:p>
        </w:tc>
        <w:tc>
          <w:tcPr>
            <w:tcW w:w="6134" w:type="dxa"/>
            <w:gridSpan w:val="5"/>
            <w:tcBorders>
              <w:top w:val="nil"/>
              <w:left w:val="nil"/>
              <w:bottom w:val="single" w:sz="8" w:space="0" w:color="4F81BD"/>
              <w:right w:val="single" w:sz="8" w:space="0" w:color="4F81BD"/>
            </w:tcBorders>
            <w:noWrap/>
            <w:tcMar>
              <w:top w:w="0" w:type="dxa"/>
              <w:left w:w="108" w:type="dxa"/>
              <w:bottom w:w="0" w:type="dxa"/>
              <w:right w:w="108" w:type="dxa"/>
            </w:tcMar>
          </w:tcPr>
          <w:p w:rsidR="00CF6445" w:rsidRPr="00A10D19" w:rsidRDefault="00CF6445" w:rsidP="00F24FE0">
            <w:pPr>
              <w:rPr>
                <w:rFonts w:ascii="Calibri" w:eastAsia="Calibri" w:hAnsi="Calibri"/>
                <w:b/>
                <w:bCs/>
                <w:color w:val="000000"/>
                <w:szCs w:val="22"/>
              </w:rPr>
            </w:pPr>
            <w:r>
              <w:rPr>
                <w:b/>
                <w:bCs/>
                <w:color w:val="000000"/>
              </w:rPr>
              <w:t>*Note: Last year's results did not return as statistically significant</w:t>
            </w:r>
          </w:p>
        </w:tc>
      </w:tr>
      <w:tr w:rsidR="00CF6445" w:rsidTr="00BF0D53">
        <w:tc>
          <w:tcPr>
            <w:tcW w:w="1120" w:type="dxa"/>
            <w:vAlign w:val="center"/>
          </w:tcPr>
          <w:p w:rsidR="00CF6445" w:rsidRDefault="00CF6445" w:rsidP="00F24FE0">
            <w:pPr>
              <w:rPr>
                <w:rFonts w:ascii="Times New Roman" w:hAnsi="Times New Roman"/>
                <w:sz w:val="20"/>
                <w:szCs w:val="20"/>
              </w:rPr>
            </w:pPr>
          </w:p>
        </w:tc>
        <w:tc>
          <w:tcPr>
            <w:tcW w:w="1182" w:type="dxa"/>
            <w:vAlign w:val="center"/>
          </w:tcPr>
          <w:p w:rsidR="00CF6445" w:rsidRDefault="00CF6445" w:rsidP="00F24FE0">
            <w:pPr>
              <w:rPr>
                <w:rFonts w:ascii="Times New Roman" w:hAnsi="Times New Roman"/>
                <w:sz w:val="20"/>
                <w:szCs w:val="20"/>
              </w:rPr>
            </w:pPr>
          </w:p>
        </w:tc>
        <w:tc>
          <w:tcPr>
            <w:tcW w:w="1556" w:type="dxa"/>
            <w:gridSpan w:val="2"/>
            <w:vAlign w:val="center"/>
          </w:tcPr>
          <w:p w:rsidR="00CF6445" w:rsidRDefault="00CF6445" w:rsidP="00F24FE0">
            <w:pPr>
              <w:rPr>
                <w:rFonts w:ascii="Times New Roman" w:hAnsi="Times New Roman"/>
                <w:sz w:val="20"/>
                <w:szCs w:val="20"/>
              </w:rPr>
            </w:pPr>
          </w:p>
        </w:tc>
        <w:tc>
          <w:tcPr>
            <w:tcW w:w="999" w:type="dxa"/>
            <w:vAlign w:val="center"/>
          </w:tcPr>
          <w:p w:rsidR="00CF6445" w:rsidRDefault="00CF6445" w:rsidP="00F24FE0">
            <w:pPr>
              <w:rPr>
                <w:rFonts w:ascii="Times New Roman" w:hAnsi="Times New Roman"/>
                <w:sz w:val="20"/>
                <w:szCs w:val="20"/>
              </w:rPr>
            </w:pPr>
          </w:p>
        </w:tc>
        <w:tc>
          <w:tcPr>
            <w:tcW w:w="1158" w:type="dxa"/>
          </w:tcPr>
          <w:p w:rsidR="00CF6445" w:rsidRDefault="00CF6445" w:rsidP="00F24FE0">
            <w:pPr>
              <w:rPr>
                <w:rFonts w:ascii="Times New Roman" w:hAnsi="Times New Roman"/>
                <w:sz w:val="20"/>
                <w:szCs w:val="20"/>
              </w:rPr>
            </w:pPr>
          </w:p>
        </w:tc>
        <w:tc>
          <w:tcPr>
            <w:tcW w:w="1390" w:type="dxa"/>
            <w:vAlign w:val="center"/>
          </w:tcPr>
          <w:p w:rsidR="00CF6445" w:rsidRDefault="00CF6445" w:rsidP="00F24FE0">
            <w:pPr>
              <w:rPr>
                <w:rFonts w:ascii="Times New Roman" w:hAnsi="Times New Roman"/>
                <w:sz w:val="20"/>
                <w:szCs w:val="20"/>
              </w:rPr>
            </w:pPr>
          </w:p>
        </w:tc>
        <w:tc>
          <w:tcPr>
            <w:tcW w:w="1158" w:type="dxa"/>
            <w:vAlign w:val="center"/>
          </w:tcPr>
          <w:p w:rsidR="00CF6445" w:rsidRDefault="00CF6445" w:rsidP="00F24FE0">
            <w:pPr>
              <w:rPr>
                <w:rFonts w:ascii="Times New Roman" w:hAnsi="Times New Roman"/>
                <w:sz w:val="20"/>
                <w:szCs w:val="20"/>
              </w:rPr>
            </w:pPr>
          </w:p>
        </w:tc>
      </w:tr>
    </w:tbl>
    <w:p w:rsidR="00BF0D53" w:rsidRDefault="00BF0D53" w:rsidP="00BF0D53">
      <w:pPr>
        <w:spacing w:after="200" w:line="276" w:lineRule="auto"/>
        <w:rPr>
          <w:rFonts w:eastAsia="Calibri" w:cs="Arial"/>
          <w:b/>
          <w:i/>
          <w:iCs/>
          <w:sz w:val="24"/>
        </w:rPr>
      </w:pPr>
      <w:r>
        <w:rPr>
          <w:rFonts w:eastAsia="Calibri" w:cs="Arial"/>
          <w:b/>
          <w:i/>
          <w:iCs/>
          <w:sz w:val="24"/>
        </w:rPr>
        <w:t>Other significant data is outlined below:</w:t>
      </w:r>
    </w:p>
    <w:p w:rsidR="00915688" w:rsidRDefault="00915688" w:rsidP="00915688">
      <w:pPr>
        <w:spacing w:line="276" w:lineRule="auto"/>
        <w:contextualSpacing/>
        <w:rPr>
          <w:rFonts w:eastAsia="Calibri" w:cs="Arial"/>
          <w:b/>
        </w:rPr>
      </w:pPr>
    </w:p>
    <w:p w:rsidR="00164873" w:rsidRDefault="00164873" w:rsidP="00915688">
      <w:pPr>
        <w:spacing w:line="276" w:lineRule="auto"/>
        <w:contextualSpacing/>
        <w:rPr>
          <w:rFonts w:eastAsia="Calibri" w:cs="Arial"/>
          <w:b/>
        </w:rPr>
      </w:pPr>
      <w:r>
        <w:rPr>
          <w:rFonts w:ascii="Calibri" w:hAnsi="Calibri"/>
          <w:noProof/>
          <w:sz w:val="18"/>
          <w:szCs w:val="18"/>
        </w:rPr>
        <w:drawing>
          <wp:inline distT="0" distB="0" distL="0" distR="0" wp14:anchorId="24F1E58F" wp14:editId="6F00556B">
            <wp:extent cx="5781675" cy="2514190"/>
            <wp:effectExtent l="0" t="0" r="0" b="635"/>
            <wp:docPr id="2" name="Picture 2" descr="N:\Project Files\Gov Local\Barnet\4847 - Residents' Perception Survey Wave 2, 2013-14 QTR 4 (2013 - 2013)\Research\Outputs\Graphs\Version 3\v5 (C1)\C1I_1GRP_Dem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roject Files\Gov Local\Barnet\4847 - Residents' Perception Survey Wave 2, 2013-14 QTR 4 (2013 - 2013)\Research\Outputs\Graphs\Version 3\v5 (C1)\C1I_1GRP_Demograph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9114" cy="2513076"/>
                    </a:xfrm>
                    <a:prstGeom prst="rect">
                      <a:avLst/>
                    </a:prstGeom>
                    <a:noFill/>
                    <a:ln>
                      <a:noFill/>
                    </a:ln>
                  </pic:spPr>
                </pic:pic>
              </a:graphicData>
            </a:graphic>
          </wp:inline>
        </w:drawing>
      </w:r>
    </w:p>
    <w:p w:rsidR="00A64209" w:rsidRPr="005C0475" w:rsidRDefault="00915688" w:rsidP="00A64209">
      <w:pPr>
        <w:pStyle w:val="ListParagraph"/>
        <w:numPr>
          <w:ilvl w:val="0"/>
          <w:numId w:val="2"/>
        </w:numPr>
        <w:spacing w:after="200" w:line="276" w:lineRule="auto"/>
        <w:rPr>
          <w:rFonts w:eastAsia="Calibri"/>
        </w:rPr>
      </w:pPr>
      <w:r w:rsidRPr="004B3450">
        <w:rPr>
          <w:rFonts w:eastAsia="Calibri"/>
        </w:rPr>
        <w:t>The</w:t>
      </w:r>
      <w:r>
        <w:rPr>
          <w:rFonts w:eastAsia="Calibri"/>
        </w:rPr>
        <w:t xml:space="preserve"> </w:t>
      </w:r>
      <w:r w:rsidR="00C61C13">
        <w:rPr>
          <w:rFonts w:eastAsia="Calibri"/>
        </w:rPr>
        <w:t xml:space="preserve">Spring 2014 </w:t>
      </w:r>
      <w:r>
        <w:rPr>
          <w:rFonts w:eastAsia="Calibri"/>
        </w:rPr>
        <w:t xml:space="preserve">Residents Perception Survey shows </w:t>
      </w:r>
      <w:r w:rsidR="00C61C13">
        <w:rPr>
          <w:rFonts w:eastAsia="Calibri"/>
        </w:rPr>
        <w:t xml:space="preserve">a continuing downward trend with 55% of residents now agreeing with this statement.  </w:t>
      </w:r>
      <w:r w:rsidR="00A64209">
        <w:rPr>
          <w:rFonts w:eastAsia="Calibri"/>
        </w:rPr>
        <w:t xml:space="preserve">This continues the recent downwards trend in perception; with an overall 8% percentage point </w:t>
      </w:r>
      <w:r w:rsidR="00BF0D53">
        <w:rPr>
          <w:rFonts w:eastAsia="Calibri"/>
        </w:rPr>
        <w:t>increase</w:t>
      </w:r>
      <w:r w:rsidR="00A64209">
        <w:rPr>
          <w:rFonts w:eastAsia="Calibri"/>
        </w:rPr>
        <w:t xml:space="preserve"> when compared to 2012. </w:t>
      </w:r>
      <w:r w:rsidR="00A64209" w:rsidRPr="004B3450">
        <w:rPr>
          <w:rFonts w:eastAsia="Calibri"/>
        </w:rPr>
        <w:t xml:space="preserve"> </w:t>
      </w:r>
      <w:r w:rsidR="00A64209">
        <w:rPr>
          <w:rFonts w:eastAsia="Calibri"/>
        </w:rPr>
        <w:t xml:space="preserve">Respondents with a limiting long term illness or disability responded even more negatively with </w:t>
      </w:r>
      <w:r w:rsidR="008C1B7A">
        <w:rPr>
          <w:rFonts w:eastAsia="Calibri"/>
        </w:rPr>
        <w:t>an</w:t>
      </w:r>
      <w:r w:rsidR="00A64209">
        <w:rPr>
          <w:rFonts w:eastAsia="Calibri"/>
        </w:rPr>
        <w:t xml:space="preserve"> 18</w:t>
      </w:r>
      <w:r w:rsidR="00A64209" w:rsidRPr="005C0475">
        <w:rPr>
          <w:rFonts w:eastAsia="Calibri"/>
        </w:rPr>
        <w:t xml:space="preserve"> percentage point downturn compared with 2012.</w:t>
      </w:r>
    </w:p>
    <w:p w:rsidR="00BB1B99" w:rsidRDefault="00C61C13" w:rsidP="00915688">
      <w:pPr>
        <w:pStyle w:val="ListParagraph"/>
        <w:numPr>
          <w:ilvl w:val="0"/>
          <w:numId w:val="2"/>
        </w:numPr>
        <w:spacing w:after="200" w:line="276" w:lineRule="auto"/>
        <w:rPr>
          <w:rFonts w:eastAsia="Calibri"/>
        </w:rPr>
      </w:pPr>
      <w:r>
        <w:rPr>
          <w:rFonts w:eastAsia="Calibri"/>
        </w:rPr>
        <w:t xml:space="preserve">This is in contrast with 87% of residents being satisfied with their local area as a place to </w:t>
      </w:r>
      <w:r w:rsidR="008C1B7A">
        <w:rPr>
          <w:rFonts w:eastAsia="Calibri"/>
        </w:rPr>
        <w:t>live,</w:t>
      </w:r>
      <w:r>
        <w:rPr>
          <w:rFonts w:eastAsia="Calibri"/>
        </w:rPr>
        <w:t xml:space="preserve"> 72% of residents being satisfied with how the council runs things and 76% of residents who feel the council is doing a good job</w:t>
      </w:r>
      <w:r w:rsidR="00BB1B99">
        <w:rPr>
          <w:rFonts w:eastAsia="Calibri"/>
        </w:rPr>
        <w:t>.</w:t>
      </w:r>
    </w:p>
    <w:p w:rsidR="00BF0D53" w:rsidRDefault="00A64209" w:rsidP="00A64209">
      <w:pPr>
        <w:pStyle w:val="ListParagraph"/>
        <w:numPr>
          <w:ilvl w:val="0"/>
          <w:numId w:val="2"/>
        </w:numPr>
        <w:spacing w:after="200" w:line="276" w:lineRule="auto"/>
        <w:rPr>
          <w:rFonts w:eastAsia="Calibri"/>
        </w:rPr>
      </w:pPr>
      <w:r w:rsidRPr="003D2F80">
        <w:rPr>
          <w:rFonts w:eastAsia="Calibri"/>
        </w:rPr>
        <w:t xml:space="preserve">More detailed analysis of this measure </w:t>
      </w:r>
      <w:r w:rsidR="00726C2F">
        <w:rPr>
          <w:rFonts w:eastAsia="Calibri"/>
        </w:rPr>
        <w:t xml:space="preserve">indicates </w:t>
      </w:r>
      <w:r w:rsidRPr="003D2F80">
        <w:rPr>
          <w:rFonts w:eastAsia="Calibri"/>
        </w:rPr>
        <w:t>a10</w:t>
      </w:r>
      <w:r w:rsidR="008C1B7A" w:rsidRPr="003D2F80">
        <w:rPr>
          <w:rFonts w:eastAsia="Calibri"/>
        </w:rPr>
        <w:t>% increase</w:t>
      </w:r>
      <w:r w:rsidRPr="003D2F80">
        <w:rPr>
          <w:rFonts w:eastAsia="Calibri"/>
        </w:rPr>
        <w:t xml:space="preserve"> for residents who have lived in the borough between 11- 20 years</w:t>
      </w:r>
      <w:r w:rsidR="00BF0D53">
        <w:rPr>
          <w:rFonts w:eastAsia="Calibri"/>
        </w:rPr>
        <w:t>, a</w:t>
      </w:r>
      <w:r w:rsidRPr="003D2F80">
        <w:rPr>
          <w:rFonts w:eastAsia="Calibri"/>
        </w:rPr>
        <w:t xml:space="preserve"> 6% increase for those who have lived in the </w:t>
      </w:r>
      <w:r w:rsidR="008C1B7A" w:rsidRPr="003D2F80">
        <w:rPr>
          <w:rFonts w:eastAsia="Calibri"/>
        </w:rPr>
        <w:t>borough</w:t>
      </w:r>
      <w:r w:rsidRPr="003D2F80">
        <w:rPr>
          <w:rFonts w:eastAsia="Calibri"/>
        </w:rPr>
        <w:t xml:space="preserve"> for more than 21 years and an 8% increase amongst residents who have not contacted the council in the last year.  </w:t>
      </w:r>
    </w:p>
    <w:p w:rsidR="00BB1B99" w:rsidRDefault="00BB1B99" w:rsidP="00915688">
      <w:pPr>
        <w:pStyle w:val="ListParagraph"/>
        <w:numPr>
          <w:ilvl w:val="0"/>
          <w:numId w:val="2"/>
        </w:numPr>
        <w:spacing w:after="200" w:line="276" w:lineRule="auto"/>
        <w:rPr>
          <w:rFonts w:eastAsia="Calibri"/>
        </w:rPr>
      </w:pPr>
      <w:r>
        <w:rPr>
          <w:rFonts w:eastAsia="Calibri"/>
        </w:rPr>
        <w:t xml:space="preserve">There are geographical differences in this perception with Hendon, Colindale, West </w:t>
      </w:r>
      <w:r w:rsidR="008C1B7A">
        <w:rPr>
          <w:rFonts w:eastAsia="Calibri"/>
        </w:rPr>
        <w:t>Finchley and</w:t>
      </w:r>
      <w:r>
        <w:rPr>
          <w:rFonts w:eastAsia="Calibri"/>
        </w:rPr>
        <w:t xml:space="preserve"> Underhill showing a </w:t>
      </w:r>
      <w:r w:rsidR="008C1B7A">
        <w:rPr>
          <w:rFonts w:eastAsia="Calibri"/>
        </w:rPr>
        <w:t>significant</w:t>
      </w:r>
      <w:r>
        <w:rPr>
          <w:rFonts w:eastAsia="Calibri"/>
        </w:rPr>
        <w:t xml:space="preserve"> increase</w:t>
      </w:r>
      <w:r w:rsidR="00CD5B3A">
        <w:rPr>
          <w:rFonts w:eastAsia="Calibri"/>
        </w:rPr>
        <w:t xml:space="preserve"> with this negative perception</w:t>
      </w:r>
      <w:r>
        <w:rPr>
          <w:rFonts w:eastAsia="Calibri"/>
        </w:rPr>
        <w:t>.</w:t>
      </w:r>
    </w:p>
    <w:p w:rsidR="00F628F8" w:rsidRDefault="00BC0306" w:rsidP="00F628F8">
      <w:pPr>
        <w:pStyle w:val="ListParagraph"/>
        <w:numPr>
          <w:ilvl w:val="0"/>
          <w:numId w:val="2"/>
        </w:numPr>
        <w:tabs>
          <w:tab w:val="left" w:pos="7513"/>
        </w:tabs>
        <w:spacing w:before="120" w:after="120"/>
      </w:pPr>
      <w:r w:rsidRPr="00F628F8">
        <w:t>Given sustained improvements in other a</w:t>
      </w:r>
      <w:r>
        <w:t>spects of Resident satisfaction</w:t>
      </w:r>
      <w:r w:rsidRPr="00F628F8">
        <w:t xml:space="preserve">, </w:t>
      </w:r>
      <w:r>
        <w:t>w</w:t>
      </w:r>
      <w:r w:rsidR="00F628F8" w:rsidRPr="00F628F8">
        <w:t xml:space="preserve">e are not happy with the direction of travel on Resident perception about whether the council does enough for people like me.  This is showing increasing dissatisfaction when Barnet has set a target to maintain the level at 47%.  </w:t>
      </w:r>
      <w:r>
        <w:t>We will continue to monitor this.</w:t>
      </w:r>
    </w:p>
    <w:p w:rsidR="00BF0D53" w:rsidRPr="00BF0D53" w:rsidRDefault="00BF0D53" w:rsidP="00BF0D53">
      <w:pPr>
        <w:pStyle w:val="ListParagraph"/>
        <w:rPr>
          <w:rFonts w:eastAsia="Calibri"/>
        </w:rPr>
      </w:pPr>
    </w:p>
    <w:p w:rsidR="00BF0D53" w:rsidRPr="00537713" w:rsidRDefault="00726C2F" w:rsidP="00537713">
      <w:pPr>
        <w:spacing w:after="200" w:line="276" w:lineRule="auto"/>
        <w:rPr>
          <w:rFonts w:eastAsia="Calibri"/>
          <w:b/>
          <w:sz w:val="28"/>
          <w:szCs w:val="28"/>
        </w:rPr>
      </w:pPr>
      <w:r w:rsidRPr="00537713">
        <w:rPr>
          <w:rFonts w:eastAsia="Calibri"/>
          <w:b/>
          <w:sz w:val="28"/>
          <w:szCs w:val="28"/>
        </w:rPr>
        <w:t>Cumulative Equalities Impact Analysis</w:t>
      </w:r>
    </w:p>
    <w:p w:rsidR="003D2F80" w:rsidRDefault="00915688" w:rsidP="00915688">
      <w:pPr>
        <w:pStyle w:val="ListParagraph"/>
        <w:numPr>
          <w:ilvl w:val="0"/>
          <w:numId w:val="2"/>
        </w:numPr>
        <w:spacing w:after="200" w:line="276" w:lineRule="auto"/>
        <w:rPr>
          <w:rFonts w:eastAsia="Calibri"/>
        </w:rPr>
      </w:pPr>
      <w:r w:rsidRPr="003D2F80">
        <w:rPr>
          <w:rFonts w:eastAsia="Calibri"/>
        </w:rPr>
        <w:t xml:space="preserve"> </w:t>
      </w:r>
      <w:r w:rsidR="00537713">
        <w:rPr>
          <w:rFonts w:eastAsia="Calibri"/>
        </w:rPr>
        <w:t xml:space="preserve">We try to </w:t>
      </w:r>
      <w:r w:rsidRPr="003D2F80">
        <w:rPr>
          <w:rFonts w:eastAsia="Calibri"/>
        </w:rPr>
        <w:t xml:space="preserve">understand the cumulative impact of </w:t>
      </w:r>
      <w:r w:rsidR="00537713">
        <w:rPr>
          <w:rFonts w:eastAsia="Calibri"/>
        </w:rPr>
        <w:t xml:space="preserve">our proposals </w:t>
      </w:r>
      <w:r w:rsidRPr="003D2F80">
        <w:rPr>
          <w:rFonts w:eastAsia="Calibri"/>
        </w:rPr>
        <w:t xml:space="preserve">on different groups, for example austerity, the rising cost of living and changes in public service provision. </w:t>
      </w:r>
    </w:p>
    <w:p w:rsidR="00AF5CD3" w:rsidRPr="00BF0D53" w:rsidRDefault="00AF5CD3" w:rsidP="00BF0D53">
      <w:pPr>
        <w:pStyle w:val="ListParagraph"/>
        <w:numPr>
          <w:ilvl w:val="0"/>
          <w:numId w:val="2"/>
        </w:numPr>
        <w:jc w:val="both"/>
      </w:pPr>
      <w:r w:rsidRPr="00BF0D53">
        <w:t xml:space="preserve">In February 2014 the council was obliged to find budget savings of £19.01m from a budget of 292, 984,580. </w:t>
      </w:r>
      <w:r w:rsidRPr="00BF0D53">
        <w:rPr>
          <w:rFonts w:eastAsia="Calibri"/>
        </w:rPr>
        <w:t xml:space="preserve">In 2015/16 a further £20.082m savings must be achieved. The budget proposals tried to plan early for savings through efficiencies and to </w:t>
      </w:r>
      <w:r w:rsidRPr="00BF0D53">
        <w:t>support the council priority to protect key front line services which respond to need.  Equality Impact assessment</w:t>
      </w:r>
      <w:r w:rsidR="00BB14AC">
        <w:t>s</w:t>
      </w:r>
      <w:r w:rsidRPr="00BF0D53">
        <w:t xml:space="preserve"> were carried out for budget savings and consultation so that the council could pay due regard to equalities in decision making and to meet our responsibilities to the protected characteristics </w:t>
      </w:r>
      <w:r w:rsidRPr="00BF0D53">
        <w:rPr>
          <w:rFonts w:eastAsia="Calibri"/>
        </w:rPr>
        <w:t>determined by the Equalities Act 2010.  A cumulative i</w:t>
      </w:r>
      <w:r w:rsidRPr="00BF0D53">
        <w:t>mpact assessment was also carried out which identified that the following groups were impacted by our proposals:</w:t>
      </w:r>
    </w:p>
    <w:p w:rsidR="00AF5CD3" w:rsidRPr="009F4A4E" w:rsidRDefault="00AF5CD3" w:rsidP="00AF5CD3">
      <w:pPr>
        <w:pStyle w:val="ListParagraph"/>
        <w:numPr>
          <w:ilvl w:val="0"/>
          <w:numId w:val="8"/>
        </w:numPr>
        <w:spacing w:after="200" w:line="276" w:lineRule="auto"/>
        <w:jc w:val="both"/>
      </w:pPr>
      <w:r>
        <w:t>O</w:t>
      </w:r>
      <w:r w:rsidRPr="009F4A4E">
        <w:t>lder people</w:t>
      </w:r>
    </w:p>
    <w:p w:rsidR="00AF5CD3" w:rsidRPr="009F4A4E" w:rsidRDefault="00AF5CD3" w:rsidP="00AF5CD3">
      <w:pPr>
        <w:pStyle w:val="ListParagraph"/>
        <w:numPr>
          <w:ilvl w:val="0"/>
          <w:numId w:val="8"/>
        </w:numPr>
        <w:spacing w:after="200" w:line="276" w:lineRule="auto"/>
        <w:jc w:val="both"/>
      </w:pPr>
      <w:r>
        <w:t>Y</w:t>
      </w:r>
      <w:r w:rsidRPr="009F4A4E">
        <w:t>ounger people</w:t>
      </w:r>
    </w:p>
    <w:p w:rsidR="00AF5CD3" w:rsidRPr="009F4A4E" w:rsidRDefault="00AF5CD3" w:rsidP="00AF5CD3">
      <w:pPr>
        <w:pStyle w:val="ListParagraph"/>
        <w:numPr>
          <w:ilvl w:val="0"/>
          <w:numId w:val="8"/>
        </w:numPr>
        <w:spacing w:after="200" w:line="276" w:lineRule="auto"/>
        <w:jc w:val="both"/>
      </w:pPr>
      <w:r>
        <w:t>D</w:t>
      </w:r>
      <w:r w:rsidRPr="009F4A4E">
        <w:t>isabled people including mental health problems</w:t>
      </w:r>
    </w:p>
    <w:p w:rsidR="00AF5CD3" w:rsidRPr="009F4A4E" w:rsidRDefault="00AF5CD3" w:rsidP="00AF5CD3">
      <w:pPr>
        <w:pStyle w:val="ListParagraph"/>
        <w:numPr>
          <w:ilvl w:val="0"/>
          <w:numId w:val="8"/>
        </w:numPr>
        <w:spacing w:after="200" w:line="276" w:lineRule="auto"/>
        <w:jc w:val="both"/>
      </w:pPr>
      <w:r w:rsidRPr="009F4A4E">
        <w:t>Vulnerable groups</w:t>
      </w:r>
    </w:p>
    <w:p w:rsidR="00AF5CD3" w:rsidRPr="009F4A4E" w:rsidRDefault="00AF5CD3" w:rsidP="00AF5CD3">
      <w:pPr>
        <w:pStyle w:val="ListParagraph"/>
        <w:numPr>
          <w:ilvl w:val="0"/>
          <w:numId w:val="8"/>
        </w:numPr>
        <w:spacing w:after="200" w:line="276" w:lineRule="auto"/>
        <w:jc w:val="both"/>
      </w:pPr>
      <w:r>
        <w:t>L</w:t>
      </w:r>
      <w:r w:rsidRPr="009F4A4E">
        <w:t xml:space="preserve">one parents </w:t>
      </w:r>
      <w:r>
        <w:t>and s</w:t>
      </w:r>
      <w:r w:rsidRPr="009F4A4E">
        <w:t xml:space="preserve">ome families  </w:t>
      </w:r>
    </w:p>
    <w:p w:rsidR="00AF5CD3" w:rsidRPr="009F4A4E" w:rsidRDefault="00AF5CD3" w:rsidP="00AF5CD3">
      <w:pPr>
        <w:pStyle w:val="ListParagraph"/>
        <w:numPr>
          <w:ilvl w:val="0"/>
          <w:numId w:val="8"/>
        </w:numPr>
        <w:spacing w:after="200" w:line="276" w:lineRule="auto"/>
        <w:jc w:val="both"/>
      </w:pPr>
      <w:r w:rsidRPr="009F4A4E">
        <w:t xml:space="preserve">Unemployed people </w:t>
      </w:r>
    </w:p>
    <w:p w:rsidR="00AF5CD3" w:rsidRPr="009F4A4E" w:rsidRDefault="00AF5CD3" w:rsidP="00AF5CD3">
      <w:pPr>
        <w:pStyle w:val="ListParagraph"/>
        <w:numPr>
          <w:ilvl w:val="0"/>
          <w:numId w:val="8"/>
        </w:numPr>
        <w:spacing w:after="200" w:line="276" w:lineRule="auto"/>
        <w:jc w:val="both"/>
      </w:pPr>
      <w:r w:rsidRPr="009F4A4E">
        <w:t xml:space="preserve">People with a low income </w:t>
      </w:r>
    </w:p>
    <w:p w:rsidR="00AF5CD3" w:rsidRPr="009F4A4E" w:rsidRDefault="00AF5CD3" w:rsidP="00AF5CD3">
      <w:pPr>
        <w:jc w:val="both"/>
        <w:rPr>
          <w:rStyle w:val="Hyperlink"/>
          <w:rFonts w:cs="Arial"/>
          <w:b/>
        </w:rPr>
      </w:pPr>
      <w:r w:rsidRPr="009F4A4E">
        <w:rPr>
          <w:rFonts w:cs="Arial"/>
        </w:rPr>
        <w:t xml:space="preserve">The report can be found here: </w:t>
      </w:r>
      <w:hyperlink r:id="rId10" w:history="1">
        <w:r w:rsidRPr="009F4A4E">
          <w:rPr>
            <w:rStyle w:val="Hyperlink"/>
            <w:rFonts w:cs="Arial"/>
            <w:b/>
          </w:rPr>
          <w:t>http://barnet.moderngov.co.uk/documents/s13303/App%20H%20i%20Cumulative%20EIA.pdf</w:t>
        </w:r>
      </w:hyperlink>
    </w:p>
    <w:p w:rsidR="00053170" w:rsidRDefault="00053170" w:rsidP="00E803F9">
      <w:pPr>
        <w:tabs>
          <w:tab w:val="left" w:pos="6237"/>
        </w:tabs>
      </w:pPr>
    </w:p>
    <w:p w:rsidR="00F628F8" w:rsidRPr="00AF5CD3" w:rsidRDefault="00F628F8" w:rsidP="00F628F8">
      <w:pPr>
        <w:rPr>
          <w:rFonts w:eastAsia="Calibri" w:cs="Arial"/>
          <w:b/>
          <w:sz w:val="28"/>
          <w:szCs w:val="28"/>
        </w:rPr>
      </w:pPr>
      <w:r>
        <w:rPr>
          <w:rFonts w:eastAsia="Calibri" w:cs="Arial"/>
          <w:b/>
          <w:sz w:val="28"/>
          <w:szCs w:val="28"/>
        </w:rPr>
        <w:t>Next Steps</w:t>
      </w:r>
    </w:p>
    <w:p w:rsidR="00F628F8" w:rsidRPr="006000A3" w:rsidRDefault="00F628F8" w:rsidP="00F628F8">
      <w:pPr>
        <w:rPr>
          <w:rFonts w:eastAsia="Calibri" w:cs="Arial"/>
          <w:sz w:val="24"/>
        </w:rPr>
      </w:pPr>
    </w:p>
    <w:p w:rsidR="00F628F8" w:rsidRPr="00F628F8" w:rsidRDefault="00F628F8" w:rsidP="00F628F8">
      <w:pPr>
        <w:rPr>
          <w:rFonts w:eastAsia="Calibri" w:cs="Arial"/>
          <w:sz w:val="24"/>
        </w:rPr>
      </w:pPr>
      <w:r w:rsidRPr="006000A3">
        <w:rPr>
          <w:rFonts w:eastAsia="Calibri" w:cs="Arial"/>
          <w:sz w:val="24"/>
        </w:rPr>
        <w:t xml:space="preserve">We </w:t>
      </w:r>
      <w:r w:rsidR="006000A3">
        <w:rPr>
          <w:rFonts w:eastAsia="Calibri" w:cs="Arial"/>
          <w:sz w:val="24"/>
        </w:rPr>
        <w:t xml:space="preserve">will </w:t>
      </w:r>
      <w:r w:rsidRPr="006000A3">
        <w:rPr>
          <w:rFonts w:eastAsia="Calibri" w:cs="Arial"/>
          <w:sz w:val="24"/>
        </w:rPr>
        <w:t>continue our efforts to achieve our Strategic Equalities objective</w:t>
      </w:r>
      <w:r w:rsidR="006000A3">
        <w:rPr>
          <w:rFonts w:eastAsia="Calibri" w:cs="Arial"/>
          <w:sz w:val="24"/>
        </w:rPr>
        <w:t xml:space="preserve"> through </w:t>
      </w:r>
      <w:r w:rsidRPr="00F628F8">
        <w:rPr>
          <w:rFonts w:cs="Arial"/>
          <w:sz w:val="24"/>
        </w:rPr>
        <w:t>our approach to provide equal opportunities and life chances for all and to publish information as we deliver accessible</w:t>
      </w:r>
      <w:r w:rsidRPr="00F628F8">
        <w:rPr>
          <w:rFonts w:eastAsia="Calibri" w:cs="Arial"/>
          <w:sz w:val="24"/>
        </w:rPr>
        <w:t xml:space="preserve"> </w:t>
      </w:r>
      <w:r w:rsidRPr="00F628F8">
        <w:rPr>
          <w:rFonts w:cs="Arial"/>
          <w:sz w:val="24"/>
        </w:rPr>
        <w:t>and value for money services</w:t>
      </w:r>
      <w:r w:rsidRPr="00F628F8">
        <w:rPr>
          <w:rFonts w:eastAsia="Calibri" w:cs="Arial"/>
          <w:sz w:val="24"/>
        </w:rPr>
        <w:t xml:space="preserve"> which address disadvantage and respond to real needs.</w:t>
      </w:r>
    </w:p>
    <w:p w:rsidR="00F628F8" w:rsidRPr="00F628F8" w:rsidRDefault="00F628F8" w:rsidP="00F628F8">
      <w:pPr>
        <w:tabs>
          <w:tab w:val="left" w:pos="7513"/>
        </w:tabs>
        <w:spacing w:before="120" w:after="120"/>
        <w:rPr>
          <w:rFonts w:cs="Arial"/>
          <w:sz w:val="24"/>
        </w:rPr>
      </w:pPr>
      <w:r w:rsidRPr="00F628F8">
        <w:rPr>
          <w:rFonts w:cs="Arial"/>
          <w:sz w:val="24"/>
        </w:rPr>
        <w:t xml:space="preserve">The landscape for local authorities for the coming years shows clearly that further efficiencies will be required and the council is projecting that a further £70m of savings will be required by 2020.   We have identified as a key priority the need for everybody to share the benefits from growth in local economy and we will work in partnership with all our Delivery units and all our strategic partners including health, Job centre plus, Re, our commercial partner, CAPITA and the West London Alliance. </w:t>
      </w:r>
    </w:p>
    <w:p w:rsidR="00F628F8" w:rsidRPr="00F628F8" w:rsidRDefault="00F628F8" w:rsidP="00F628F8">
      <w:pPr>
        <w:rPr>
          <w:rFonts w:eastAsia="Calibri"/>
          <w:sz w:val="24"/>
        </w:rPr>
      </w:pPr>
      <w:r w:rsidRPr="00F628F8">
        <w:rPr>
          <w:rFonts w:eastAsia="Calibri"/>
          <w:sz w:val="24"/>
        </w:rPr>
        <w:t>This report will be shared with our partners and taken into account in broader participation and engagement strategies as we address the needs and aspirations of particular groups of Barnet citizens and particular locations.</w:t>
      </w:r>
    </w:p>
    <w:p w:rsidR="00726C2F" w:rsidRPr="00F628F8" w:rsidRDefault="00726C2F" w:rsidP="00726C2F">
      <w:pPr>
        <w:rPr>
          <w:rFonts w:eastAsia="Calibri" w:cs="Arial"/>
          <w:sz w:val="24"/>
        </w:rPr>
      </w:pPr>
    </w:p>
    <w:p w:rsidR="00B05972" w:rsidRDefault="00B05972">
      <w:pPr>
        <w:spacing w:after="200" w:line="276" w:lineRule="auto"/>
        <w:rPr>
          <w:rFonts w:eastAsiaTheme="minorHAnsi" w:cs="Arial"/>
          <w:b/>
          <w:bCs/>
          <w:sz w:val="32"/>
          <w:szCs w:val="32"/>
          <w:lang w:eastAsia="en-US"/>
        </w:rPr>
      </w:pPr>
    </w:p>
    <w:sectPr w:rsidR="00B05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547"/>
    <w:multiLevelType w:val="hybridMultilevel"/>
    <w:tmpl w:val="1EF6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07B30"/>
    <w:multiLevelType w:val="hybridMultilevel"/>
    <w:tmpl w:val="2E44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020F5"/>
    <w:multiLevelType w:val="hybridMultilevel"/>
    <w:tmpl w:val="4FCE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C5947"/>
    <w:multiLevelType w:val="hybridMultilevel"/>
    <w:tmpl w:val="8D187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BA405E"/>
    <w:multiLevelType w:val="hybridMultilevel"/>
    <w:tmpl w:val="0970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8C1B03"/>
    <w:multiLevelType w:val="multilevel"/>
    <w:tmpl w:val="FDD811C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61084F"/>
    <w:multiLevelType w:val="hybridMultilevel"/>
    <w:tmpl w:val="D1601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09E5684"/>
    <w:multiLevelType w:val="multilevel"/>
    <w:tmpl w:val="FDD811C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C497A8F"/>
    <w:multiLevelType w:val="multilevel"/>
    <w:tmpl w:val="5892371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9A05018"/>
    <w:multiLevelType w:val="hybridMultilevel"/>
    <w:tmpl w:val="EA988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9"/>
  </w:num>
  <w:num w:numId="5">
    <w:abstractNumId w:val="0"/>
  </w:num>
  <w:num w:numId="6">
    <w:abstractNumId w:val="1"/>
  </w:num>
  <w:num w:numId="7">
    <w:abstractNumId w:val="5"/>
  </w:num>
  <w:num w:numId="8">
    <w:abstractNumId w:val="3"/>
  </w:num>
  <w:num w:numId="9">
    <w:abstractNumId w:val="7"/>
  </w:num>
  <w:num w:numId="10">
    <w:abstractNumId w:val="4"/>
  </w:num>
  <w:num w:numId="1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88"/>
    <w:rsid w:val="00053170"/>
    <w:rsid w:val="000644EF"/>
    <w:rsid w:val="000A109D"/>
    <w:rsid w:val="00164873"/>
    <w:rsid w:val="00182A8E"/>
    <w:rsid w:val="00204CDC"/>
    <w:rsid w:val="002E363B"/>
    <w:rsid w:val="002F6232"/>
    <w:rsid w:val="003C7DFC"/>
    <w:rsid w:val="003D2F80"/>
    <w:rsid w:val="00435156"/>
    <w:rsid w:val="004408DB"/>
    <w:rsid w:val="00475C01"/>
    <w:rsid w:val="00482E2B"/>
    <w:rsid w:val="004E6078"/>
    <w:rsid w:val="00517D55"/>
    <w:rsid w:val="00537713"/>
    <w:rsid w:val="00586CF1"/>
    <w:rsid w:val="005879B2"/>
    <w:rsid w:val="005A21A6"/>
    <w:rsid w:val="006000A3"/>
    <w:rsid w:val="00605A5F"/>
    <w:rsid w:val="00701ED1"/>
    <w:rsid w:val="00726C2F"/>
    <w:rsid w:val="00735C6B"/>
    <w:rsid w:val="007777EF"/>
    <w:rsid w:val="007B6C39"/>
    <w:rsid w:val="007F2290"/>
    <w:rsid w:val="008424C6"/>
    <w:rsid w:val="0085496C"/>
    <w:rsid w:val="008C1B7A"/>
    <w:rsid w:val="008F3A42"/>
    <w:rsid w:val="009002B9"/>
    <w:rsid w:val="0091515B"/>
    <w:rsid w:val="00915688"/>
    <w:rsid w:val="009675D2"/>
    <w:rsid w:val="00977878"/>
    <w:rsid w:val="00984912"/>
    <w:rsid w:val="009A6076"/>
    <w:rsid w:val="009A64B7"/>
    <w:rsid w:val="00A64209"/>
    <w:rsid w:val="00AB43D0"/>
    <w:rsid w:val="00AD0889"/>
    <w:rsid w:val="00AF5CD3"/>
    <w:rsid w:val="00B05972"/>
    <w:rsid w:val="00B47F2D"/>
    <w:rsid w:val="00BA2D1F"/>
    <w:rsid w:val="00BB14AC"/>
    <w:rsid w:val="00BB1B99"/>
    <w:rsid w:val="00BC0306"/>
    <w:rsid w:val="00BF0D53"/>
    <w:rsid w:val="00C46855"/>
    <w:rsid w:val="00C60A0D"/>
    <w:rsid w:val="00C61C13"/>
    <w:rsid w:val="00CD5B3A"/>
    <w:rsid w:val="00CD76F5"/>
    <w:rsid w:val="00CE0C31"/>
    <w:rsid w:val="00CF6445"/>
    <w:rsid w:val="00D447E3"/>
    <w:rsid w:val="00DA0F0B"/>
    <w:rsid w:val="00E32ECB"/>
    <w:rsid w:val="00E803F9"/>
    <w:rsid w:val="00EF4E6C"/>
    <w:rsid w:val="00F0690A"/>
    <w:rsid w:val="00F628F8"/>
    <w:rsid w:val="00FA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88"/>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91568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688"/>
    <w:rPr>
      <w:rFonts w:ascii="Arial" w:eastAsia="Times New Roman" w:hAnsi="Arial" w:cs="Arial"/>
      <w:b/>
      <w:bCs/>
      <w:kern w:val="32"/>
      <w:sz w:val="32"/>
      <w:szCs w:val="32"/>
      <w:lang w:eastAsia="en-GB"/>
    </w:rPr>
  </w:style>
  <w:style w:type="paragraph" w:styleId="ListParagraph">
    <w:name w:val="List Paragraph"/>
    <w:basedOn w:val="Normal"/>
    <w:uiPriority w:val="34"/>
    <w:qFormat/>
    <w:rsid w:val="00915688"/>
    <w:pPr>
      <w:ind w:left="720"/>
      <w:contextualSpacing/>
    </w:pPr>
    <w:rPr>
      <w:rFonts w:cs="Arial"/>
      <w:sz w:val="24"/>
      <w:lang w:eastAsia="en-US"/>
    </w:rPr>
  </w:style>
  <w:style w:type="character" w:styleId="Hyperlink">
    <w:name w:val="Hyperlink"/>
    <w:basedOn w:val="DefaultParagraphFont"/>
    <w:uiPriority w:val="99"/>
    <w:unhideWhenUsed/>
    <w:rsid w:val="004E6078"/>
    <w:rPr>
      <w:color w:val="0000FF"/>
      <w:u w:val="single"/>
    </w:rPr>
  </w:style>
  <w:style w:type="paragraph" w:styleId="BalloonText">
    <w:name w:val="Balloon Text"/>
    <w:basedOn w:val="Normal"/>
    <w:link w:val="BalloonTextChar"/>
    <w:uiPriority w:val="99"/>
    <w:semiHidden/>
    <w:unhideWhenUsed/>
    <w:rsid w:val="00605A5F"/>
    <w:rPr>
      <w:rFonts w:ascii="Tahoma" w:hAnsi="Tahoma" w:cs="Tahoma"/>
      <w:sz w:val="16"/>
      <w:szCs w:val="16"/>
    </w:rPr>
  </w:style>
  <w:style w:type="character" w:customStyle="1" w:styleId="BalloonTextChar">
    <w:name w:val="Balloon Text Char"/>
    <w:basedOn w:val="DefaultParagraphFont"/>
    <w:link w:val="BalloonText"/>
    <w:uiPriority w:val="99"/>
    <w:semiHidden/>
    <w:rsid w:val="00605A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82A8E"/>
    <w:rPr>
      <w:sz w:val="16"/>
      <w:szCs w:val="16"/>
    </w:rPr>
  </w:style>
  <w:style w:type="paragraph" w:styleId="CommentText">
    <w:name w:val="annotation text"/>
    <w:basedOn w:val="Normal"/>
    <w:link w:val="CommentTextChar"/>
    <w:uiPriority w:val="99"/>
    <w:semiHidden/>
    <w:unhideWhenUsed/>
    <w:rsid w:val="00182A8E"/>
    <w:rPr>
      <w:sz w:val="20"/>
      <w:szCs w:val="20"/>
    </w:rPr>
  </w:style>
  <w:style w:type="character" w:customStyle="1" w:styleId="CommentTextChar">
    <w:name w:val="Comment Text Char"/>
    <w:basedOn w:val="DefaultParagraphFont"/>
    <w:link w:val="CommentText"/>
    <w:uiPriority w:val="99"/>
    <w:semiHidden/>
    <w:rsid w:val="00182A8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2A8E"/>
    <w:rPr>
      <w:b/>
      <w:bCs/>
    </w:rPr>
  </w:style>
  <w:style w:type="character" w:customStyle="1" w:styleId="CommentSubjectChar">
    <w:name w:val="Comment Subject Char"/>
    <w:basedOn w:val="CommentTextChar"/>
    <w:link w:val="CommentSubject"/>
    <w:uiPriority w:val="99"/>
    <w:semiHidden/>
    <w:rsid w:val="00182A8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517D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88"/>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91568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688"/>
    <w:rPr>
      <w:rFonts w:ascii="Arial" w:eastAsia="Times New Roman" w:hAnsi="Arial" w:cs="Arial"/>
      <w:b/>
      <w:bCs/>
      <w:kern w:val="32"/>
      <w:sz w:val="32"/>
      <w:szCs w:val="32"/>
      <w:lang w:eastAsia="en-GB"/>
    </w:rPr>
  </w:style>
  <w:style w:type="paragraph" w:styleId="ListParagraph">
    <w:name w:val="List Paragraph"/>
    <w:basedOn w:val="Normal"/>
    <w:uiPriority w:val="34"/>
    <w:qFormat/>
    <w:rsid w:val="00915688"/>
    <w:pPr>
      <w:ind w:left="720"/>
      <w:contextualSpacing/>
    </w:pPr>
    <w:rPr>
      <w:rFonts w:cs="Arial"/>
      <w:sz w:val="24"/>
      <w:lang w:eastAsia="en-US"/>
    </w:rPr>
  </w:style>
  <w:style w:type="character" w:styleId="Hyperlink">
    <w:name w:val="Hyperlink"/>
    <w:basedOn w:val="DefaultParagraphFont"/>
    <w:uiPriority w:val="99"/>
    <w:unhideWhenUsed/>
    <w:rsid w:val="004E6078"/>
    <w:rPr>
      <w:color w:val="0000FF"/>
      <w:u w:val="single"/>
    </w:rPr>
  </w:style>
  <w:style w:type="paragraph" w:styleId="BalloonText">
    <w:name w:val="Balloon Text"/>
    <w:basedOn w:val="Normal"/>
    <w:link w:val="BalloonTextChar"/>
    <w:uiPriority w:val="99"/>
    <w:semiHidden/>
    <w:unhideWhenUsed/>
    <w:rsid w:val="00605A5F"/>
    <w:rPr>
      <w:rFonts w:ascii="Tahoma" w:hAnsi="Tahoma" w:cs="Tahoma"/>
      <w:sz w:val="16"/>
      <w:szCs w:val="16"/>
    </w:rPr>
  </w:style>
  <w:style w:type="character" w:customStyle="1" w:styleId="BalloonTextChar">
    <w:name w:val="Balloon Text Char"/>
    <w:basedOn w:val="DefaultParagraphFont"/>
    <w:link w:val="BalloonText"/>
    <w:uiPriority w:val="99"/>
    <w:semiHidden/>
    <w:rsid w:val="00605A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182A8E"/>
    <w:rPr>
      <w:sz w:val="16"/>
      <w:szCs w:val="16"/>
    </w:rPr>
  </w:style>
  <w:style w:type="paragraph" w:styleId="CommentText">
    <w:name w:val="annotation text"/>
    <w:basedOn w:val="Normal"/>
    <w:link w:val="CommentTextChar"/>
    <w:uiPriority w:val="99"/>
    <w:semiHidden/>
    <w:unhideWhenUsed/>
    <w:rsid w:val="00182A8E"/>
    <w:rPr>
      <w:sz w:val="20"/>
      <w:szCs w:val="20"/>
    </w:rPr>
  </w:style>
  <w:style w:type="character" w:customStyle="1" w:styleId="CommentTextChar">
    <w:name w:val="Comment Text Char"/>
    <w:basedOn w:val="DefaultParagraphFont"/>
    <w:link w:val="CommentText"/>
    <w:uiPriority w:val="99"/>
    <w:semiHidden/>
    <w:rsid w:val="00182A8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2A8E"/>
    <w:rPr>
      <w:b/>
      <w:bCs/>
    </w:rPr>
  </w:style>
  <w:style w:type="character" w:customStyle="1" w:styleId="CommentSubjectChar">
    <w:name w:val="Comment Subject Char"/>
    <w:basedOn w:val="CommentTextChar"/>
    <w:link w:val="CommentSubject"/>
    <w:uiPriority w:val="99"/>
    <w:semiHidden/>
    <w:rsid w:val="00182A8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517D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8777">
      <w:bodyDiv w:val="1"/>
      <w:marLeft w:val="0"/>
      <w:marRight w:val="0"/>
      <w:marTop w:val="0"/>
      <w:marBottom w:val="0"/>
      <w:divBdr>
        <w:top w:val="none" w:sz="0" w:space="0" w:color="auto"/>
        <w:left w:val="none" w:sz="0" w:space="0" w:color="auto"/>
        <w:bottom w:val="none" w:sz="0" w:space="0" w:color="auto"/>
        <w:right w:val="none" w:sz="0" w:space="0" w:color="auto"/>
      </w:divBdr>
    </w:div>
    <w:div w:id="1334837952">
      <w:bodyDiv w:val="1"/>
      <w:marLeft w:val="0"/>
      <w:marRight w:val="0"/>
      <w:marTop w:val="0"/>
      <w:marBottom w:val="0"/>
      <w:divBdr>
        <w:top w:val="none" w:sz="0" w:space="0" w:color="auto"/>
        <w:left w:val="none" w:sz="0" w:space="0" w:color="auto"/>
        <w:bottom w:val="none" w:sz="0" w:space="0" w:color="auto"/>
        <w:right w:val="none" w:sz="0" w:space="0" w:color="auto"/>
      </w:divBdr>
    </w:div>
    <w:div w:id="1687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arnet.gov.uk/info/940354/adopted_local_plan-core_strategy_dpd/1004/adopted_local_plan-core_strategy_dp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rnet.moderngov.co.uk/documents/s13303/App%20H%20i%20Cumulative%20EIA.pdf"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A557-0C87-41E1-8309-5F30AA5E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7</cp:revision>
  <cp:lastPrinted>2014-07-18T09:58:00Z</cp:lastPrinted>
  <dcterms:created xsi:type="dcterms:W3CDTF">2014-05-28T15:38:00Z</dcterms:created>
  <dcterms:modified xsi:type="dcterms:W3CDTF">2014-07-18T10:36:00Z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-133828616</vt:i4>
  </property>
  <property fmtid="{D5CDD505-2E9C-101B-9397-08002B2CF9AE}" pid="3" name="_NewReviewCycle">
    <vt:lpwstr/>
  </property>
  <property fmtid="{D5CDD505-2E9C-101B-9397-08002B2CF9AE}" pid="4" name="_EmailSubject">
    <vt:lpwstr>Equalities report</vt:lpwstr>
  </property>
  <property fmtid="{D5CDD505-2E9C-101B-9397-08002B2CF9AE}" pid="5" name="_AuthorEmail">
    <vt:lpwstr>Rosie.Evangelou@barnet.gov.uk</vt:lpwstr>
  </property>
  <property fmtid="{D5CDD505-2E9C-101B-9397-08002B2CF9AE}" pid="6" name="_AuthorEmailDisplayName">
    <vt:lpwstr>Evangelou, Rosie</vt:lpwstr>
  </property>
  <property fmtid="{D5CDD505-2E9C-101B-9397-08002B2CF9AE}" pid="7" name="_ReviewingToolsShownOnce">
    <vt:lpwstr/>
  </property>
</Properties>
</file>